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Bringing a new client's data in</w:t>
      </w:r>
    </w:p>
    <w:p>
      <w:r>
        <w:rPr>
          <w:i/>
        </w:rPr>
        <w:t>Tally, BUSY, Gati, spreadsheets and anything else. Written 10 September 2026.</w:t>
      </w:r>
    </w:p>
    <w:p>
      <w:pPr>
        <w:pStyle w:val="Heading1"/>
      </w:pPr>
      <w:r>
        <w:t>The decision, first</w:t>
      </w:r>
    </w:p>
    <w:p>
      <w:r>
        <w:t>There are three ways a client's existing data reaches CaratOS. Picking the right one at the start saves far more time than any amount of clever mapping later.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it 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t>Spreadsheet upload</w:t>
            </w:r>
          </w:p>
        </w:tc>
        <w:tc>
          <w:tcPr>
            <w:tcW w:type="dxa" w:w="2880"/>
          </w:tcPr>
          <w:p>
            <w:r>
              <w:t>A one-off migration, or data that changes rarely</w:t>
            </w:r>
          </w:p>
        </w:tc>
        <w:tc>
          <w:tcPr>
            <w:tcW w:type="dxa" w:w="2880"/>
          </w:tcPr>
          <w:p>
            <w:r>
              <w:t>Hours</w:t>
            </w:r>
          </w:p>
        </w:tc>
      </w:tr>
      <w:tr>
        <w:tc>
          <w:tcPr>
            <w:tcW w:type="dxa" w:w="2880"/>
          </w:tcPr>
          <w:p>
            <w:r>
              <w:t>Connect agent</w:t>
            </w:r>
          </w:p>
        </w:tc>
        <w:tc>
          <w:tcPr>
            <w:tcW w:type="dxa" w:w="2880"/>
          </w:tcPr>
          <w:p>
            <w:r>
              <w:t>The client runs Tally, BUSY or a SQL database on site and wants it kept in step</w:t>
            </w:r>
          </w:p>
        </w:tc>
        <w:tc>
          <w:tcPr>
            <w:tcW w:type="dxa" w:w="2880"/>
          </w:tcPr>
          <w:p>
            <w:r>
              <w:t>Days</w:t>
            </w:r>
          </w:p>
        </w:tc>
      </w:tr>
      <w:tr>
        <w:tc>
          <w:tcPr>
            <w:tcW w:type="dxa" w:w="2880"/>
          </w:tcPr>
          <w:p>
            <w:r>
              <w:t>New adapter</w:t>
            </w:r>
          </w:p>
        </w:tc>
        <w:tc>
          <w:tcPr>
            <w:tcW w:type="dxa" w:w="2880"/>
          </w:tcPr>
          <w:p>
            <w:r>
              <w:t>The client runs something we have never seen</w:t>
            </w:r>
          </w:p>
        </w:tc>
        <w:tc>
          <w:tcPr>
            <w:tcW w:type="dxa" w:w="2880"/>
          </w:tcPr>
          <w:p>
            <w:r>
              <w:t>Weeks</w:t>
            </w:r>
          </w:p>
        </w:tc>
      </w:tr>
    </w:tbl>
    <w:p>
      <w:r>
        <w:t>Most clients start with a spreadsheet and move to an agent later. That is a good order: the spreadsheet forces everyone to agree what the fields MEAN before anyone automates moving them.</w:t>
      </w:r>
    </w:p>
    <w:p>
      <w:pPr>
        <w:pStyle w:val="Heading1"/>
      </w:pPr>
      <w:r>
        <w:t>What to ask the client for</w:t>
      </w:r>
    </w:p>
    <w:p>
      <w:pPr>
        <w:pStyle w:val="ListBullet"/>
      </w:pPr>
      <w:r>
        <w:t>A sample export, real but small. Twenty rows is plenty.</w:t>
      </w:r>
    </w:p>
    <w:p>
      <w:pPr>
        <w:pStyle w:val="ListBullet"/>
      </w:pPr>
      <w:r>
        <w:t>What their software is, and its version.</w:t>
      </w:r>
    </w:p>
    <w:p>
      <w:pPr>
        <w:pStyle w:val="ListBullet"/>
      </w:pPr>
      <w:r>
        <w:t>Whether it runs on one machine or a server, and who administers it.</w:t>
      </w:r>
    </w:p>
    <w:p>
      <w:pPr>
        <w:pStyle w:val="ListBullet"/>
      </w:pPr>
      <w:r>
        <w:t>Which branch each record belongs to, and how you can tell from the data.</w:t>
      </w:r>
    </w:p>
    <w:p>
      <w:pPr>
        <w:pStyle w:val="ListBullet"/>
      </w:pPr>
      <w:r>
        <w:t>Who owns the decision when two records look like the same customer.</w:t>
      </w:r>
    </w:p>
    <w:p>
      <w:r>
        <w:t>That last question is the one that gets skipped and the one that causes the most trouble. A migration that merges two real customers is far worse than one that leaves two duplicates for somebody to review.</w:t>
      </w:r>
    </w:p>
    <w:p>
      <w:pPr>
        <w:pStyle w:val="Heading1"/>
      </w:pPr>
      <w:r>
        <w:t>The spreadsheet route</w:t>
      </w:r>
    </w:p>
    <w:p>
      <w:pPr>
        <w:pStyle w:val="ListNumber"/>
      </w:pPr>
      <w:r>
        <w:t>Open Data, then choose what you are importing: customers, branches or products.</w:t>
      </w:r>
    </w:p>
    <w:p>
      <w:pPr>
        <w:pStyle w:val="ListNumber"/>
      </w:pPr>
      <w:r>
        <w:t>Upload the file. The system reads the column headings and suggests a mapping.</w:t>
      </w:r>
    </w:p>
    <w:p>
      <w:pPr>
        <w:pStyle w:val="ListNumber"/>
      </w:pPr>
      <w:r>
        <w:t>Check every suggested mapping. A wrong guess here is silent later.</w:t>
      </w:r>
    </w:p>
    <w:p>
      <w:pPr>
        <w:pStyle w:val="ListNumber"/>
      </w:pPr>
      <w:r>
        <w:t>Press Preview. Nothing is saved. You get a per-row verdict: valid, warning or error, with the reason.</w:t>
      </w:r>
    </w:p>
    <w:p>
      <w:pPr>
        <w:pStyle w:val="ListNumber"/>
      </w:pPr>
      <w:r>
        <w:t>Fix the file and preview again until the errors are gone. Warnings are usually acceptable; read them and decide.</w:t>
      </w:r>
    </w:p>
    <w:p>
      <w:pPr>
        <w:pStyle w:val="ListNumber"/>
      </w:pPr>
      <w:r>
        <w:t>Press Import. You get a receipt showing how many rows were created, updated, skipped and rejected.</w:t>
      </w:r>
    </w:p>
    <w:p>
      <w:r>
        <w:t>Rows the system thinks are duplicates are NOT merged. They are left for a person to review, because merging the wrong two customers cannot be undone cleanly.</w:t>
      </w:r>
    </w:p>
    <w:p>
      <w:pPr>
        <w:pStyle w:val="Heading1"/>
      </w:pPr>
      <w:r>
        <w:t>Turning imported customers into leads</w:t>
      </w:r>
    </w:p>
    <w:p>
      <w:r>
        <w:t>This is a separate, deliberate step. Importing ten years of customers and starting a sales campaign are different decisions, and nobody wants ten thousand leads landing on eight salespeople overnight.</w:t>
      </w:r>
    </w:p>
    <w:p>
      <w:pPr>
        <w:pStyle w:val="ListNumber"/>
      </w:pPr>
      <w:r>
        <w:t>Import the customers first and check the receipt.</w:t>
      </w:r>
    </w:p>
    <w:p>
      <w:pPr>
        <w:pStyle w:val="ListNumber"/>
      </w:pPr>
      <w:r>
        <w:t>Then, if you want leads, run the open-leads command for that import batch, saying which branch and what the follow-up is about.</w:t>
      </w:r>
    </w:p>
    <w:p>
      <w:pPr>
        <w:pStyle w:val="ListNumber"/>
      </w:pPr>
      <w:r>
        <w:t>Only customers that import actually CREATED are considered. Someone it merely updated already existed and is somebody's existing relationship.</w:t>
      </w:r>
    </w:p>
    <w:p>
      <w:r>
        <w:t>These leads are recorded with the source "Imported". They are deliberately not filed under a marketing channel: the file did not say how those people originally found the business, and inventing that would corrupt every source-mix report afterwards.</w:t>
      </w:r>
    </w:p>
    <w:p>
      <w:pPr>
        <w:pStyle w:val="Heading1"/>
      </w:pPr>
      <w:r>
        <w:t>The Connect agent route</w:t>
      </w:r>
    </w:p>
    <w:p>
      <w:r>
        <w:t>A small program that runs on the client's own machine, reads their system and pushes to us. It never opens a hole into their network from outside.</w:t>
      </w:r>
    </w:p>
    <w:p>
      <w:pPr>
        <w:pStyle w:val="ListNumber"/>
      </w:pPr>
      <w:r>
        <w:t>Register the agent in CaratOS. You get an enrolment key tied to that client.</w:t>
      </w:r>
    </w:p>
    <w:p>
      <w:pPr>
        <w:pStyle w:val="ListNumber"/>
      </w:pPr>
      <w:r>
        <w:t>Install the agent on the client machine and enter the key.</w:t>
      </w:r>
    </w:p>
    <w:p>
      <w:pPr>
        <w:pStyle w:val="ListNumber"/>
      </w:pPr>
      <w:r>
        <w:t>The agent reports what it can see: which tables, which fields, which version.</w:t>
      </w:r>
    </w:p>
    <w:p>
      <w:pPr>
        <w:pStyle w:val="ListNumber"/>
      </w:pPr>
      <w:r>
        <w:t>Configure the mapping once. It is stored per client, outside the core system, so a client's quirks never become everybody's code.</w:t>
      </w:r>
    </w:p>
    <w:p>
      <w:pPr>
        <w:pStyle w:val="ListNumber"/>
      </w:pPr>
      <w:r>
        <w:t>Run a preview sync. Same per-row verdicts as the spreadsheet route.</w:t>
      </w:r>
    </w:p>
    <w:p>
      <w:pPr>
        <w:pStyle w:val="ListNumber"/>
      </w:pPr>
      <w:r>
        <w:t>Enable the schedule.</w:t>
      </w:r>
    </w:p>
    <w:p>
      <w:r>
        <w:t>After that, Settings, Integrations shows the agent's health and when it last synced successfully. A silent agent is the failure mode to watch for, so the last-sync time matters more than the status word next to it.</w:t>
      </w:r>
    </w:p>
    <w:p>
      <w:pPr>
        <w:pStyle w:val="Heading1"/>
      </w:pPr>
      <w:r>
        <w:t>Current status of each connector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Connector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is missing</w:t>
            </w:r>
          </w:p>
        </w:tc>
      </w:tr>
      <w:tr>
        <w:tc>
          <w:tcPr>
            <w:tcW w:type="dxa" w:w="2880"/>
          </w:tcPr>
          <w:p>
            <w:r>
              <w:t>Spreadsheet CSV, XLS, XLSX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Nothing</w:t>
            </w:r>
          </w:p>
        </w:tc>
      </w:tr>
      <w:tr>
        <w:tc>
          <w:tcPr>
            <w:tcW w:type="dxa" w:w="2880"/>
          </w:tcPr>
          <w:p>
            <w:r>
              <w:t>Tally</w:t>
            </w:r>
          </w:p>
        </w:tc>
        <w:tc>
          <w:tcPr>
            <w:tcW w:type="dxa" w:w="2880"/>
          </w:tcPr>
          <w:p>
            <w:r>
              <w:t>Built, tested against samples</w:t>
            </w:r>
          </w:p>
        </w:tc>
        <w:tc>
          <w:tcPr>
            <w:tcW w:type="dxa" w:w="2880"/>
          </w:tcPr>
          <w:p>
            <w:r>
              <w:t>A real client installation to point at</w:t>
            </w:r>
          </w:p>
        </w:tc>
      </w:tr>
      <w:tr>
        <w:tc>
          <w:tcPr>
            <w:tcW w:type="dxa" w:w="2880"/>
          </w:tcPr>
          <w:p>
            <w:r>
              <w:t>BUSY</w:t>
            </w:r>
          </w:p>
        </w:tc>
        <w:tc>
          <w:tcPr>
            <w:tcW w:type="dxa" w:w="2880"/>
          </w:tcPr>
          <w:p>
            <w:r>
              <w:t>Built, tested against samples</w:t>
            </w:r>
          </w:p>
        </w:tc>
        <w:tc>
          <w:tcPr>
            <w:tcW w:type="dxa" w:w="2880"/>
          </w:tcPr>
          <w:p>
            <w:r>
              <w:t>A real client installation to point at</w:t>
            </w:r>
          </w:p>
        </w:tc>
      </w:tr>
      <w:tr>
        <w:tc>
          <w:tcPr>
            <w:tcW w:type="dxa" w:w="2880"/>
          </w:tcPr>
          <w:p>
            <w:r>
              <w:t>Generic SQL via ODBC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  <w:tc>
          <w:tcPr>
            <w:tcW w:type="dxa" w:w="2880"/>
          </w:tcPr>
          <w:p>
            <w:r>
              <w:t>Nothing</w:t>
            </w:r>
          </w:p>
        </w:tc>
      </w:tr>
      <w:tr>
        <w:tc>
          <w:tcPr>
            <w:tcW w:type="dxa" w:w="2880"/>
          </w:tcPr>
          <w:p>
            <w:r>
              <w:t>Gati logistics</w:t>
            </w:r>
          </w:p>
        </w:tc>
        <w:tc>
          <w:tcPr>
            <w:tcW w:type="dxa" w:w="2880"/>
          </w:tcPr>
          <w:p>
            <w:r>
              <w:t>Adapter contract only</w:t>
            </w:r>
          </w:p>
        </w:tc>
        <w:tc>
          <w:tcPr>
            <w:tcW w:type="dxa" w:w="2880"/>
          </w:tcPr>
          <w:p>
            <w:r>
              <w:t>API access and an account</w:t>
            </w:r>
          </w:p>
        </w:tc>
      </w:tr>
    </w:tbl>
    <w:p>
      <w:r>
        <w:t>"Tested against samples" means the code is complete and correct against recorded data, and has never been pointed at a live client system. That distinction is worth keeping in front of a client rather than behind them.</w:t>
      </w:r>
    </w:p>
    <w:p>
      <w:pPr>
        <w:pStyle w:val="Heading1"/>
      </w:pPr>
      <w:r>
        <w:t>What must never go in a document, a ticket or a screenshot</w:t>
      </w:r>
    </w:p>
    <w:p>
      <w:pPr>
        <w:pStyle w:val="ListBullet"/>
      </w:pPr>
      <w:r>
        <w:t>Database passwords or connection strings.</w:t>
      </w:r>
    </w:p>
    <w:p>
      <w:pPr>
        <w:pStyle w:val="ListBullet"/>
      </w:pPr>
      <w:r>
        <w:t>Agent enrolment keys.</w:t>
      </w:r>
    </w:p>
    <w:p>
      <w:pPr>
        <w:pStyle w:val="ListBullet"/>
      </w:pPr>
      <w:r>
        <w:t>API tokens of any kind.</w:t>
      </w:r>
    </w:p>
    <w:p>
      <w:r>
        <w:t>If one appears in any of those, treat it as compromised and issue a new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Bringing a new client's data in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