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445" w:rsidRDefault="00896445" w:rsidP="00896445">
      <w:pPr>
        <w:ind w:left="2160" w:firstLine="720"/>
      </w:pPr>
      <w:r>
        <w:t>PENDAPATAN DAERAH ACEH</w:t>
      </w:r>
      <w:r>
        <w:tab/>
        <w:t xml:space="preserve"> </w:t>
      </w:r>
    </w:p>
    <w:p w:rsidR="00896445" w:rsidRDefault="00896445" w:rsidP="00896445">
      <w:proofErr w:type="spellStart"/>
      <w:r>
        <w:t>Pendapatan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Daerah  (PAD) Aceh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stagnan</w:t>
      </w:r>
      <w:proofErr w:type="spellEnd"/>
      <w:r>
        <w:t xml:space="preserve">. Target PAD 2013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menyumbang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1,2 </w:t>
      </w:r>
      <w:proofErr w:type="spellStart"/>
      <w:r>
        <w:t>triliun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toral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Aceh </w:t>
      </w:r>
      <w:proofErr w:type="spellStart"/>
      <w:r>
        <w:t>Perubahan</w:t>
      </w:r>
      <w:proofErr w:type="spellEnd"/>
      <w:r>
        <w:t xml:space="preserve"> (APBA-P) 2013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12,39 </w:t>
      </w:r>
      <w:proofErr w:type="spellStart"/>
      <w:r>
        <w:t>triliun</w:t>
      </w:r>
      <w:proofErr w:type="spellEnd"/>
      <w:r>
        <w:t xml:space="preserve">. </w:t>
      </w:r>
      <w:proofErr w:type="spellStart"/>
      <w:r>
        <w:t>Pemerintah</w:t>
      </w:r>
      <w:proofErr w:type="spellEnd"/>
      <w:r>
        <w:t xml:space="preserve"> Aceh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PAD.</w:t>
      </w:r>
    </w:p>
    <w:p w:rsidR="00896445" w:rsidRDefault="00896445" w:rsidP="00896445"/>
    <w:p w:rsidR="00CC4E48" w:rsidRDefault="00896445" w:rsidP="00896445">
      <w:proofErr w:type="spellStart"/>
      <w:r>
        <w:t>Kenyataan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mencuat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yang </w:t>
      </w:r>
      <w:proofErr w:type="spellStart"/>
      <w:r>
        <w:t>diselenggarakan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Public Expenditure Analysis and Capacity Strengthening Program (PECAPP)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Syiah</w:t>
      </w:r>
      <w:proofErr w:type="spellEnd"/>
      <w:r>
        <w:t xml:space="preserve"> Kuala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Aceh di 3in1 Cafe, Banda Aceh, </w:t>
      </w:r>
      <w:proofErr w:type="spellStart"/>
      <w:r>
        <w:t>Kamis</w:t>
      </w:r>
      <w:proofErr w:type="spellEnd"/>
      <w:r>
        <w:t xml:space="preserve"> 24 </w:t>
      </w:r>
      <w:proofErr w:type="spellStart"/>
      <w:r>
        <w:t>Oktober</w:t>
      </w:r>
      <w:proofErr w:type="spellEnd"/>
      <w:r>
        <w:t xml:space="preserve"> 2013.</w:t>
      </w:r>
    </w:p>
    <w:p w:rsidR="00896445" w:rsidRDefault="00896445" w:rsidP="00896445"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Daerah, Muhammad </w:t>
      </w:r>
      <w:proofErr w:type="spellStart"/>
      <w:r>
        <w:t>mengakui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PAD yang</w:t>
      </w:r>
      <w:r>
        <w:br/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stagnan</w:t>
      </w:r>
      <w:proofErr w:type="spellEnd"/>
      <w:r>
        <w:t xml:space="preserve">. </w:t>
      </w:r>
      <w:proofErr w:type="spellStart"/>
      <w:r>
        <w:t>Menurutnya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PAD Aceh. </w:t>
      </w:r>
      <w:proofErr w:type="spellStart"/>
      <w:r>
        <w:t>Beberapa</w:t>
      </w:r>
      <w:proofErr w:type="spellEnd"/>
      <w:r>
        <w:t xml:space="preserve">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; </w:t>
      </w:r>
      <w:proofErr w:type="spellStart"/>
      <w:r>
        <w:t>pemungutan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Aceh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manual. "Juga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kekayaan</w:t>
      </w:r>
      <w:proofErr w:type="spellEnd"/>
      <w:r>
        <w:t xml:space="preserve"> Aceh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," </w:t>
      </w:r>
      <w:proofErr w:type="spellStart"/>
      <w:r>
        <w:t>ujarnya</w:t>
      </w:r>
      <w:proofErr w:type="spellEnd"/>
      <w:r>
        <w:t>.</w:t>
      </w:r>
    </w:p>
    <w:p w:rsidR="00896445" w:rsidRDefault="00896445" w:rsidP="00896445">
      <w:proofErr w:type="spellStart"/>
      <w:r>
        <w:t>Dalam</w:t>
      </w:r>
      <w:proofErr w:type="spellEnd"/>
      <w:r>
        <w:t xml:space="preserve"> </w:t>
      </w:r>
      <w:proofErr w:type="spellStart"/>
      <w:r>
        <w:t>setahun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Aceh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agar </w:t>
      </w:r>
      <w:proofErr w:type="spellStart"/>
      <w:r>
        <w:t>menggali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PAD juga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>. "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gantungkan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betul-betul</w:t>
      </w:r>
      <w:proofErr w:type="spellEnd"/>
      <w:r>
        <w:t xml:space="preserve"> </w:t>
      </w:r>
      <w:proofErr w:type="spellStart"/>
      <w:r>
        <w:t>membenahi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PAD."</w:t>
      </w:r>
      <w:r>
        <w:br/>
      </w:r>
      <w:r>
        <w:br/>
      </w:r>
      <w:proofErr w:type="spellStart"/>
      <w:r>
        <w:t>Belum</w:t>
      </w:r>
      <w:proofErr w:type="spellEnd"/>
      <w:r>
        <w:t xml:space="preserve"> </w:t>
      </w:r>
      <w:proofErr w:type="spellStart"/>
      <w:r>
        <w:t>selesainya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Aceh juga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PAD Aceh </w:t>
      </w:r>
      <w:proofErr w:type="spellStart"/>
      <w:r>
        <w:t>belum</w:t>
      </w:r>
      <w:proofErr w:type="spellEnd"/>
      <w:r>
        <w:t xml:space="preserve"> optimal. </w:t>
      </w:r>
      <w:proofErr w:type="spellStart"/>
      <w:r>
        <w:t>Pihaknya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merampungkan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Aceh di </w:t>
      </w:r>
      <w:proofErr w:type="spellStart"/>
      <w:r>
        <w:t>pusat</w:t>
      </w:r>
      <w:proofErr w:type="spellEnd"/>
      <w:r>
        <w:t>. "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gas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pertanahan</w:t>
      </w:r>
      <w:proofErr w:type="spellEnd"/>
      <w:r>
        <w:t xml:space="preserve">," </w:t>
      </w:r>
      <w:proofErr w:type="spellStart"/>
      <w:r>
        <w:t>ujar</w:t>
      </w:r>
      <w:proofErr w:type="spellEnd"/>
      <w:r>
        <w:t xml:space="preserve"> Abdullah Saleh.</w:t>
      </w:r>
    </w:p>
    <w:p w:rsidR="00896445" w:rsidRDefault="00896445" w:rsidP="00896445"/>
    <w:p w:rsidR="00896445" w:rsidRDefault="00896445" w:rsidP="00896445"/>
    <w:p w:rsidR="00896445" w:rsidRDefault="00896445" w:rsidP="00896445"/>
    <w:p w:rsidR="00896445" w:rsidRDefault="00896445" w:rsidP="00896445"/>
    <w:p w:rsidR="00896445" w:rsidRDefault="00896445" w:rsidP="00896445"/>
    <w:p w:rsidR="00896445" w:rsidRDefault="00896445" w:rsidP="00896445"/>
    <w:p w:rsidR="00896445" w:rsidRDefault="00896445" w:rsidP="00896445"/>
    <w:p w:rsidR="00896445" w:rsidRDefault="00896445" w:rsidP="00896445"/>
    <w:p w:rsidR="00896445" w:rsidRDefault="00896445" w:rsidP="00896445"/>
    <w:p w:rsidR="00896445" w:rsidRDefault="00896445" w:rsidP="00896445"/>
    <w:p w:rsidR="00896445" w:rsidRDefault="00896445" w:rsidP="00896445"/>
    <w:p w:rsidR="00896445" w:rsidRDefault="00896445" w:rsidP="00896445"/>
    <w:p w:rsidR="00896445" w:rsidRDefault="00896445" w:rsidP="00896445"/>
    <w:p w:rsidR="00896445" w:rsidRDefault="00896445" w:rsidP="00896445">
      <w:r>
        <w:lastRenderedPageBreak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LUAS DAERAH </w:t>
      </w:r>
    </w:p>
    <w:tbl>
      <w:tblPr>
        <w:tblW w:w="5679" w:type="pct"/>
        <w:jc w:val="center"/>
        <w:tblCellSpacing w:w="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"/>
        <w:gridCol w:w="2112"/>
        <w:gridCol w:w="3115"/>
        <w:gridCol w:w="1332"/>
        <w:gridCol w:w="1062"/>
        <w:gridCol w:w="2478"/>
      </w:tblGrid>
      <w:tr w:rsidR="003B0EC6" w:rsidRPr="003B0EC6" w:rsidTr="0017089D">
        <w:trPr>
          <w:trHeight w:val="900"/>
          <w:tblCellSpacing w:w="15" w:type="dxa"/>
          <w:jc w:val="center"/>
        </w:trPr>
        <w:tc>
          <w:tcPr>
            <w:tcW w:w="468" w:type="dxa"/>
            <w:shd w:val="clear" w:color="auto" w:fill="006400"/>
            <w:vAlign w:val="center"/>
            <w:hideMark/>
          </w:tcPr>
          <w:p w:rsidR="003B0EC6" w:rsidRPr="003B0EC6" w:rsidRDefault="003B0EC6" w:rsidP="003B0E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00"/>
              </w:rPr>
            </w:pPr>
            <w:r w:rsidRPr="003B0EC6">
              <w:rPr>
                <w:rFonts w:ascii="Arial" w:eastAsia="Times New Roman" w:hAnsi="Arial" w:cs="Arial"/>
                <w:color w:val="FFFF00"/>
              </w:rPr>
              <w:t>No.</w:t>
            </w:r>
          </w:p>
        </w:tc>
        <w:tc>
          <w:tcPr>
            <w:tcW w:w="2082" w:type="dxa"/>
            <w:shd w:val="clear" w:color="auto" w:fill="0064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6"/>
              <w:gridCol w:w="315"/>
            </w:tblGrid>
            <w:tr w:rsidR="003B0EC6" w:rsidRPr="003B0EC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B0EC6" w:rsidRPr="003B0EC6" w:rsidRDefault="003B0EC6" w:rsidP="003B0E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" w:history="1">
                    <w:proofErr w:type="spellStart"/>
                    <w:r w:rsidRPr="003B0EC6">
                      <w:rPr>
                        <w:rFonts w:ascii="Times New Roman" w:eastAsia="Times New Roman" w:hAnsi="Times New Roman" w:cs="Times New Roman"/>
                        <w:color w:val="0000FF"/>
                        <w:sz w:val="27"/>
                        <w:szCs w:val="27"/>
                        <w:u w:val="single"/>
                      </w:rPr>
                      <w:t>Provinsi</w:t>
                    </w:r>
                    <w:proofErr w:type="spellEnd"/>
                  </w:hyperlink>
                  <w:r w:rsidRPr="003B0E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B0EC6" w:rsidRPr="003B0EC6" w:rsidRDefault="003B0EC6" w:rsidP="003B0E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EC6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5" name="Picture 5" descr="ASC Arrow">
                          <a:hlinkClick xmlns:a="http://schemas.openxmlformats.org/drawingml/2006/main" r:id="rId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SC Arrow">
                                  <a:hlinkClick r:id="rId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B0EC6" w:rsidRPr="003B0EC6" w:rsidRDefault="003B0EC6" w:rsidP="003B0E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00"/>
              </w:rPr>
            </w:pPr>
          </w:p>
        </w:tc>
        <w:tc>
          <w:tcPr>
            <w:tcW w:w="3085" w:type="dxa"/>
            <w:shd w:val="clear" w:color="auto" w:fill="0064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99"/>
              <w:gridCol w:w="321"/>
              <w:gridCol w:w="135"/>
            </w:tblGrid>
            <w:tr w:rsidR="003B0EC6" w:rsidRPr="003B0EC6">
              <w:trPr>
                <w:tblCellSpacing w:w="15" w:type="dxa"/>
                <w:jc w:val="center"/>
              </w:trPr>
              <w:tc>
                <w:tcPr>
                  <w:tcW w:w="2700" w:type="dxa"/>
                  <w:vAlign w:val="center"/>
                  <w:hideMark/>
                </w:tcPr>
                <w:p w:rsidR="003B0EC6" w:rsidRPr="003B0EC6" w:rsidRDefault="003B0EC6" w:rsidP="003B0E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" w:history="1">
                    <w:proofErr w:type="spellStart"/>
                    <w:r w:rsidRPr="003B0EC6">
                      <w:rPr>
                        <w:rFonts w:ascii="Times New Roman" w:eastAsia="Times New Roman" w:hAnsi="Times New Roman" w:cs="Times New Roman"/>
                        <w:color w:val="0000FF"/>
                        <w:sz w:val="27"/>
                        <w:szCs w:val="27"/>
                        <w:u w:val="single"/>
                      </w:rPr>
                      <w:t>Dasar</w:t>
                    </w:r>
                    <w:proofErr w:type="spellEnd"/>
                    <w:r w:rsidRPr="003B0EC6">
                      <w:rPr>
                        <w:rFonts w:ascii="Times New Roman" w:eastAsia="Times New Roman" w:hAnsi="Times New Roman" w:cs="Times New Roman"/>
                        <w:color w:val="0000FF"/>
                        <w:sz w:val="27"/>
                        <w:szCs w:val="27"/>
                        <w:u w:val="single"/>
                      </w:rPr>
                      <w:t xml:space="preserve"> </w:t>
                    </w:r>
                    <w:proofErr w:type="spellStart"/>
                    <w:r w:rsidRPr="003B0EC6">
                      <w:rPr>
                        <w:rFonts w:ascii="Times New Roman" w:eastAsia="Times New Roman" w:hAnsi="Times New Roman" w:cs="Times New Roman"/>
                        <w:color w:val="0000FF"/>
                        <w:sz w:val="27"/>
                        <w:szCs w:val="27"/>
                        <w:u w:val="single"/>
                      </w:rPr>
                      <w:t>Hukum</w:t>
                    </w:r>
                    <w:proofErr w:type="spellEnd"/>
                  </w:hyperlink>
                  <w:r w:rsidRPr="003B0E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3B0EC6" w:rsidRPr="003B0EC6" w:rsidRDefault="003B0EC6" w:rsidP="003B0E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EC6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4" name="Picture 4" descr="ASC Arrow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ASC Arrow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B0EC6" w:rsidRPr="003B0EC6" w:rsidRDefault="003B0EC6" w:rsidP="003B0E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E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3B0EC6" w:rsidRPr="003B0EC6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3B0EC6" w:rsidRPr="003B0EC6" w:rsidRDefault="003B0EC6" w:rsidP="003B0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00"/>
                      <w:sz w:val="20"/>
                      <w:szCs w:val="20"/>
                    </w:rPr>
                  </w:pPr>
                  <w:proofErr w:type="spellStart"/>
                  <w:r w:rsidRPr="003B0EC6">
                    <w:rPr>
                      <w:rFonts w:ascii="Times New Roman" w:eastAsia="Times New Roman" w:hAnsi="Times New Roman" w:cs="Times New Roman"/>
                      <w:b/>
                      <w:bCs/>
                      <w:color w:val="FFFF00"/>
                      <w:sz w:val="20"/>
                      <w:szCs w:val="20"/>
                    </w:rPr>
                    <w:t>silakan</w:t>
                  </w:r>
                  <w:proofErr w:type="spellEnd"/>
                  <w:r w:rsidRPr="003B0EC6">
                    <w:rPr>
                      <w:rFonts w:ascii="Times New Roman" w:eastAsia="Times New Roman" w:hAnsi="Times New Roman" w:cs="Times New Roman"/>
                      <w:b/>
                      <w:bCs/>
                      <w:color w:val="FFFF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B0EC6">
                    <w:rPr>
                      <w:rFonts w:ascii="Times New Roman" w:eastAsia="Times New Roman" w:hAnsi="Times New Roman" w:cs="Times New Roman"/>
                      <w:b/>
                      <w:bCs/>
                      <w:color w:val="FFFF00"/>
                      <w:sz w:val="20"/>
                      <w:szCs w:val="20"/>
                    </w:rPr>
                    <w:t>klik</w:t>
                  </w:r>
                  <w:proofErr w:type="spellEnd"/>
                  <w:r w:rsidRPr="003B0EC6">
                    <w:rPr>
                      <w:rFonts w:ascii="Times New Roman" w:eastAsia="Times New Roman" w:hAnsi="Times New Roman" w:cs="Times New Roman"/>
                      <w:b/>
                      <w:bCs/>
                      <w:color w:val="FFFF00"/>
                      <w:sz w:val="20"/>
                      <w:szCs w:val="20"/>
                    </w:rPr>
                    <w:t xml:space="preserve"> dasar2 </w:t>
                  </w:r>
                  <w:proofErr w:type="spellStart"/>
                  <w:r w:rsidRPr="003B0EC6">
                    <w:rPr>
                      <w:rFonts w:ascii="Times New Roman" w:eastAsia="Times New Roman" w:hAnsi="Times New Roman" w:cs="Times New Roman"/>
                      <w:b/>
                      <w:bCs/>
                      <w:color w:val="FFFF00"/>
                      <w:sz w:val="20"/>
                      <w:szCs w:val="20"/>
                    </w:rPr>
                    <w:t>hukum</w:t>
                  </w:r>
                  <w:proofErr w:type="spellEnd"/>
                  <w:r w:rsidRPr="003B0EC6">
                    <w:rPr>
                      <w:rFonts w:ascii="Times New Roman" w:eastAsia="Times New Roman" w:hAnsi="Times New Roman" w:cs="Times New Roman"/>
                      <w:b/>
                      <w:bCs/>
                      <w:color w:val="FFFF00"/>
                      <w:sz w:val="20"/>
                      <w:szCs w:val="20"/>
                    </w:rPr>
                    <w:t xml:space="preserve"> di </w:t>
                  </w:r>
                  <w:proofErr w:type="spellStart"/>
                  <w:r w:rsidRPr="003B0EC6">
                    <w:rPr>
                      <w:rFonts w:ascii="Times New Roman" w:eastAsia="Times New Roman" w:hAnsi="Times New Roman" w:cs="Times New Roman"/>
                      <w:b/>
                      <w:bCs/>
                      <w:color w:val="FFFF00"/>
                      <w:sz w:val="20"/>
                      <w:szCs w:val="20"/>
                    </w:rPr>
                    <w:t>bawah</w:t>
                  </w:r>
                  <w:proofErr w:type="spellEnd"/>
                  <w:r w:rsidRPr="003B0EC6">
                    <w:rPr>
                      <w:rFonts w:ascii="Times New Roman" w:eastAsia="Times New Roman" w:hAnsi="Times New Roman" w:cs="Times New Roman"/>
                      <w:b/>
                      <w:bCs/>
                      <w:color w:val="FFFF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B0EC6">
                    <w:rPr>
                      <w:rFonts w:ascii="Times New Roman" w:eastAsia="Times New Roman" w:hAnsi="Times New Roman" w:cs="Times New Roman"/>
                      <w:b/>
                      <w:bCs/>
                      <w:color w:val="FFFF00"/>
                      <w:sz w:val="20"/>
                      <w:szCs w:val="20"/>
                    </w:rPr>
                    <w:t>ini</w:t>
                  </w:r>
                  <w:proofErr w:type="spellEnd"/>
                </w:p>
              </w:tc>
            </w:tr>
          </w:tbl>
          <w:p w:rsidR="003B0EC6" w:rsidRPr="003B0EC6" w:rsidRDefault="003B0EC6" w:rsidP="003B0E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00"/>
              </w:rPr>
            </w:pPr>
          </w:p>
        </w:tc>
        <w:tc>
          <w:tcPr>
            <w:tcW w:w="1302" w:type="dxa"/>
            <w:shd w:val="clear" w:color="auto" w:fill="0064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9"/>
              <w:gridCol w:w="315"/>
            </w:tblGrid>
            <w:tr w:rsidR="003B0EC6" w:rsidRPr="003B0EC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B0EC6" w:rsidRPr="003B0EC6" w:rsidRDefault="003B0EC6" w:rsidP="003B0E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" w:history="1">
                    <w:proofErr w:type="spellStart"/>
                    <w:r w:rsidRPr="003B0EC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Ibukota</w:t>
                    </w:r>
                    <w:proofErr w:type="spellEnd"/>
                  </w:hyperlink>
                  <w:r w:rsidRPr="003B0E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B0EC6" w:rsidRPr="003B0EC6" w:rsidRDefault="003B0EC6" w:rsidP="003B0E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EC6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3" name="Picture 3" descr="ASC Arrow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ASC Arrow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B0EC6" w:rsidRPr="003B0EC6" w:rsidRDefault="003B0EC6" w:rsidP="003B0E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00"/>
              </w:rPr>
            </w:pPr>
          </w:p>
        </w:tc>
        <w:tc>
          <w:tcPr>
            <w:tcW w:w="1032" w:type="dxa"/>
            <w:shd w:val="clear" w:color="auto" w:fill="006400"/>
            <w:vAlign w:val="center"/>
            <w:hideMark/>
          </w:tcPr>
          <w:p w:rsidR="003B0EC6" w:rsidRPr="003B0EC6" w:rsidRDefault="003B0EC6" w:rsidP="003B0E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00"/>
              </w:rPr>
            </w:pPr>
            <w:hyperlink r:id="rId8" w:history="1">
              <w:proofErr w:type="spellStart"/>
              <w:r w:rsidRPr="003B0EC6">
                <w:rPr>
                  <w:rFonts w:ascii="Arial" w:eastAsia="Times New Roman" w:hAnsi="Arial" w:cs="Arial"/>
                  <w:color w:val="0000FF"/>
                  <w:u w:val="single"/>
                </w:rPr>
                <w:t>Jumlah</w:t>
              </w:r>
              <w:proofErr w:type="spellEnd"/>
              <w:r w:rsidRPr="003B0EC6">
                <w:rPr>
                  <w:rFonts w:ascii="Arial" w:eastAsia="Times New Roman" w:hAnsi="Arial" w:cs="Arial"/>
                  <w:color w:val="0000FF"/>
                  <w:u w:val="single"/>
                </w:rPr>
                <w:br/>
              </w:r>
              <w:proofErr w:type="spellStart"/>
              <w:r w:rsidRPr="003B0EC6">
                <w:rPr>
                  <w:rFonts w:ascii="Arial" w:eastAsia="Times New Roman" w:hAnsi="Arial" w:cs="Arial"/>
                  <w:color w:val="0000FF"/>
                  <w:u w:val="single"/>
                </w:rPr>
                <w:t>Penduduk</w:t>
              </w:r>
              <w:proofErr w:type="spellEnd"/>
            </w:hyperlink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17"/>
            </w:tblGrid>
            <w:tr w:rsidR="003B0EC6" w:rsidRPr="003B0EC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B0EC6" w:rsidRPr="003B0EC6" w:rsidRDefault="003B0EC6" w:rsidP="003B0E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EC6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33350" cy="142875"/>
                        <wp:effectExtent l="0" t="0" r="0" b="9525"/>
                        <wp:docPr id="2" name="Picture 2" descr="DESC Arrow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DESC Arrow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B0EC6" w:rsidRPr="003B0EC6" w:rsidRDefault="003B0EC6" w:rsidP="003B0E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FF00"/>
                      <w:sz w:val="12"/>
                      <w:szCs w:val="12"/>
                    </w:rPr>
                  </w:pPr>
                  <w:r w:rsidRPr="003B0EC6">
                    <w:rPr>
                      <w:rFonts w:ascii="Times New Roman" w:eastAsia="Times New Roman" w:hAnsi="Times New Roman" w:cs="Times New Roman"/>
                      <w:b/>
                      <w:bCs/>
                      <w:color w:val="FFFF00"/>
                      <w:sz w:val="12"/>
                      <w:szCs w:val="12"/>
                    </w:rPr>
                    <w:t>(DKCS 2016)</w:t>
                  </w:r>
                </w:p>
              </w:tc>
            </w:tr>
          </w:tbl>
          <w:p w:rsidR="003B0EC6" w:rsidRPr="003B0EC6" w:rsidRDefault="003B0EC6" w:rsidP="003B0E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00"/>
              </w:rPr>
            </w:pPr>
          </w:p>
        </w:tc>
        <w:tc>
          <w:tcPr>
            <w:tcW w:w="2433" w:type="dxa"/>
            <w:shd w:val="clear" w:color="auto" w:fill="006400"/>
            <w:vAlign w:val="center"/>
            <w:hideMark/>
          </w:tcPr>
          <w:p w:rsidR="003B0EC6" w:rsidRPr="003B0EC6" w:rsidRDefault="003B0EC6" w:rsidP="003B0E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00"/>
              </w:rPr>
            </w:pPr>
            <w:hyperlink r:id="rId10" w:history="1">
              <w:r w:rsidRPr="003B0EC6">
                <w:rPr>
                  <w:rFonts w:ascii="Arial" w:eastAsia="Times New Roman" w:hAnsi="Arial" w:cs="Arial"/>
                  <w:color w:val="0000FF"/>
                  <w:u w:val="single"/>
                </w:rPr>
                <w:t xml:space="preserve">Luas (km²) Wilayah </w:t>
              </w:r>
            </w:hyperlink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645"/>
            </w:tblGrid>
            <w:tr w:rsidR="003B0EC6" w:rsidRPr="003B0EC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B0EC6" w:rsidRPr="003B0EC6" w:rsidRDefault="003B0EC6" w:rsidP="003B0E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EC6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33350" cy="142875"/>
                        <wp:effectExtent l="0" t="0" r="0" b="9525"/>
                        <wp:docPr id="1" name="Picture 1" descr="ASC Arrow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ASC Arrow">
                                  <a:hlinkClick r:id="rId1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B0EC6" w:rsidRPr="003B0EC6" w:rsidRDefault="003B0EC6" w:rsidP="003B0E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FF00"/>
                      <w:sz w:val="12"/>
                      <w:szCs w:val="12"/>
                    </w:rPr>
                  </w:pPr>
                  <w:r w:rsidRPr="003B0EC6">
                    <w:rPr>
                      <w:rFonts w:ascii="Times New Roman" w:eastAsia="Times New Roman" w:hAnsi="Times New Roman" w:cs="Times New Roman"/>
                      <w:b/>
                      <w:bCs/>
                      <w:color w:val="FFFF00"/>
                      <w:sz w:val="12"/>
                      <w:szCs w:val="12"/>
                    </w:rPr>
                    <w:t>(BPS 2016)</w:t>
                  </w:r>
                </w:p>
              </w:tc>
            </w:tr>
          </w:tbl>
          <w:p w:rsidR="003B0EC6" w:rsidRPr="003B0EC6" w:rsidRDefault="003B0EC6" w:rsidP="003B0E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00"/>
              </w:rPr>
            </w:pPr>
          </w:p>
        </w:tc>
      </w:tr>
      <w:tr w:rsidR="003B0EC6" w:rsidRPr="003B0EC6" w:rsidTr="0017089D">
        <w:trPr>
          <w:trHeight w:val="450"/>
          <w:tblCellSpacing w:w="15" w:type="dxa"/>
          <w:jc w:val="center"/>
        </w:trPr>
        <w:tc>
          <w:tcPr>
            <w:tcW w:w="468" w:type="dxa"/>
            <w:shd w:val="clear" w:color="auto" w:fill="CCFFFF"/>
            <w:vAlign w:val="center"/>
            <w:hideMark/>
          </w:tcPr>
          <w:p w:rsidR="003B0EC6" w:rsidRPr="003B0EC6" w:rsidRDefault="003B0EC6" w:rsidP="003B0E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0EC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082" w:type="dxa"/>
            <w:shd w:val="clear" w:color="auto" w:fill="CCFFFF"/>
            <w:vAlign w:val="center"/>
            <w:hideMark/>
          </w:tcPr>
          <w:p w:rsidR="003B0EC6" w:rsidRPr="003B0EC6" w:rsidRDefault="003B0EC6" w:rsidP="003B0E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1" w:history="1">
              <w:proofErr w:type="spellStart"/>
              <w:r w:rsidRPr="003B0EC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Nanggroe</w:t>
              </w:r>
              <w:proofErr w:type="spellEnd"/>
              <w:r w:rsidRPr="003B0EC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 xml:space="preserve"> Aceh Darussalam (NAD)</w:t>
              </w:r>
            </w:hyperlink>
          </w:p>
        </w:tc>
        <w:tc>
          <w:tcPr>
            <w:tcW w:w="3085" w:type="dxa"/>
            <w:shd w:val="clear" w:color="auto" w:fill="CCFFFF"/>
            <w:vAlign w:val="center"/>
            <w:hideMark/>
          </w:tcPr>
          <w:p w:rsidR="003B0EC6" w:rsidRPr="003B0EC6" w:rsidRDefault="003B0EC6" w:rsidP="003B0EC6">
            <w:pPr>
              <w:spacing w:after="0" w:line="240" w:lineRule="auto"/>
              <w:rPr>
                <w:rFonts w:ascii="Arial" w:eastAsia="Times New Roman" w:hAnsi="Arial" w:cs="Arial"/>
                <w:color w:val="CCFFFF"/>
                <w:sz w:val="30"/>
                <w:szCs w:val="30"/>
              </w:rPr>
            </w:pPr>
            <w:hyperlink r:id="rId12" w:history="1"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 xml:space="preserve">UURI No. 11 </w:t>
              </w:r>
              <w:proofErr w:type="spellStart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>Tahun</w:t>
              </w:r>
              <w:proofErr w:type="spellEnd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 xml:space="preserve"> 2006, </w:t>
              </w:r>
              <w:proofErr w:type="spellStart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>Tgl</w:t>
              </w:r>
              <w:proofErr w:type="spellEnd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>. 01-08-2006</w:t>
              </w:r>
            </w:hyperlink>
            <w:r w:rsidRPr="003B0EC6">
              <w:rPr>
                <w:rFonts w:ascii="Arial" w:eastAsia="Times New Roman" w:hAnsi="Arial" w:cs="Arial"/>
                <w:color w:val="CCFFFF"/>
                <w:sz w:val="30"/>
                <w:szCs w:val="30"/>
              </w:rPr>
              <w:t>.</w:t>
            </w:r>
            <w:r w:rsidRPr="003B0EC6">
              <w:rPr>
                <w:rFonts w:ascii="Arial" w:eastAsia="Times New Roman" w:hAnsi="Arial" w:cs="Arial"/>
                <w:color w:val="CCFFFF"/>
                <w:sz w:val="30"/>
                <w:szCs w:val="30"/>
              </w:rPr>
              <w:br/>
            </w:r>
            <w:hyperlink r:id="rId13" w:history="1"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 xml:space="preserve">UURI No.18 </w:t>
              </w:r>
              <w:proofErr w:type="spellStart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>Tahun</w:t>
              </w:r>
              <w:proofErr w:type="spellEnd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 xml:space="preserve"> 2001 , </w:t>
              </w:r>
              <w:proofErr w:type="spellStart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>Tgl</w:t>
              </w:r>
              <w:proofErr w:type="spellEnd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>. 09-08-2001</w:t>
              </w:r>
            </w:hyperlink>
            <w:r w:rsidRPr="003B0EC6">
              <w:rPr>
                <w:rFonts w:ascii="Arial" w:eastAsia="Times New Roman" w:hAnsi="Arial" w:cs="Arial"/>
                <w:color w:val="CCFFFF"/>
                <w:sz w:val="30"/>
                <w:szCs w:val="30"/>
              </w:rPr>
              <w:t>.</w:t>
            </w:r>
            <w:r w:rsidRPr="003B0EC6">
              <w:rPr>
                <w:rFonts w:ascii="Arial" w:eastAsia="Times New Roman" w:hAnsi="Arial" w:cs="Arial"/>
                <w:color w:val="CCFFFF"/>
                <w:sz w:val="30"/>
                <w:szCs w:val="30"/>
              </w:rPr>
              <w:br/>
            </w:r>
            <w:hyperlink r:id="rId14" w:history="1"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 xml:space="preserve">UURI No. 44 </w:t>
              </w:r>
              <w:proofErr w:type="spellStart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>Tahun</w:t>
              </w:r>
              <w:proofErr w:type="spellEnd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 xml:space="preserve"> 1999, </w:t>
              </w:r>
              <w:proofErr w:type="spellStart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>Tgl</w:t>
              </w:r>
              <w:proofErr w:type="spellEnd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>. 04-10-1999</w:t>
              </w:r>
            </w:hyperlink>
            <w:r w:rsidRPr="003B0EC6">
              <w:rPr>
                <w:rFonts w:ascii="Arial" w:eastAsia="Times New Roman" w:hAnsi="Arial" w:cs="Arial"/>
                <w:color w:val="CCFFFF"/>
                <w:sz w:val="30"/>
                <w:szCs w:val="30"/>
              </w:rPr>
              <w:t>.</w:t>
            </w:r>
            <w:r w:rsidRPr="003B0EC6">
              <w:rPr>
                <w:rFonts w:ascii="Arial" w:eastAsia="Times New Roman" w:hAnsi="Arial" w:cs="Arial"/>
                <w:color w:val="CCFFFF"/>
                <w:sz w:val="30"/>
                <w:szCs w:val="30"/>
              </w:rPr>
              <w:br/>
            </w:r>
            <w:hyperlink r:id="rId15" w:history="1"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 xml:space="preserve">UURI No. 24 </w:t>
              </w:r>
              <w:proofErr w:type="spellStart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>Tahun</w:t>
              </w:r>
              <w:proofErr w:type="spellEnd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 xml:space="preserve"> 1956, </w:t>
              </w:r>
              <w:proofErr w:type="spellStart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>Tgl</w:t>
              </w:r>
              <w:proofErr w:type="spellEnd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>. 07-12-1956</w:t>
              </w:r>
            </w:hyperlink>
            <w:r w:rsidRPr="003B0EC6">
              <w:rPr>
                <w:rFonts w:ascii="Arial" w:eastAsia="Times New Roman" w:hAnsi="Arial" w:cs="Arial"/>
                <w:color w:val="CCFFFF"/>
                <w:sz w:val="30"/>
                <w:szCs w:val="30"/>
              </w:rPr>
              <w:t>.</w:t>
            </w:r>
            <w:r w:rsidRPr="003B0EC6">
              <w:rPr>
                <w:rFonts w:ascii="Arial" w:eastAsia="Times New Roman" w:hAnsi="Arial" w:cs="Arial"/>
                <w:color w:val="CCFFFF"/>
                <w:sz w:val="30"/>
                <w:szCs w:val="30"/>
              </w:rPr>
              <w:br/>
            </w:r>
            <w:hyperlink r:id="rId16" w:history="1"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 xml:space="preserve">UURI No. 12 </w:t>
              </w:r>
              <w:proofErr w:type="spellStart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>Tahun</w:t>
              </w:r>
              <w:proofErr w:type="spellEnd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 xml:space="preserve"> 1946, </w:t>
              </w:r>
              <w:proofErr w:type="spellStart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>Tgl</w:t>
              </w:r>
              <w:proofErr w:type="spellEnd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>. 08-07-1946</w:t>
              </w:r>
            </w:hyperlink>
            <w:r w:rsidRPr="003B0EC6">
              <w:rPr>
                <w:rFonts w:ascii="Arial" w:eastAsia="Times New Roman" w:hAnsi="Arial" w:cs="Arial"/>
                <w:color w:val="CCFFFF"/>
                <w:sz w:val="30"/>
                <w:szCs w:val="30"/>
              </w:rPr>
              <w:t>.</w:t>
            </w:r>
            <w:r w:rsidRPr="003B0EC6">
              <w:rPr>
                <w:rFonts w:ascii="Arial" w:eastAsia="Times New Roman" w:hAnsi="Arial" w:cs="Arial"/>
                <w:color w:val="CCFFFF"/>
                <w:sz w:val="30"/>
                <w:szCs w:val="30"/>
              </w:rPr>
              <w:br/>
            </w:r>
            <w:hyperlink r:id="rId17" w:history="1"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 xml:space="preserve">PPRI No. 2 </w:t>
              </w:r>
              <w:proofErr w:type="spellStart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>Tahun</w:t>
              </w:r>
              <w:proofErr w:type="spellEnd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 xml:space="preserve"> 1946, </w:t>
              </w:r>
              <w:proofErr w:type="spellStart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>Tgl</w:t>
              </w:r>
              <w:proofErr w:type="spellEnd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>. 18-04-1946</w:t>
              </w:r>
            </w:hyperlink>
            <w:r w:rsidRPr="003B0EC6">
              <w:rPr>
                <w:rFonts w:ascii="Arial" w:eastAsia="Times New Roman" w:hAnsi="Arial" w:cs="Arial"/>
                <w:color w:val="CCFFFF"/>
                <w:sz w:val="30"/>
                <w:szCs w:val="30"/>
              </w:rPr>
              <w:t>.</w:t>
            </w:r>
            <w:r w:rsidRPr="003B0EC6">
              <w:rPr>
                <w:rFonts w:ascii="Arial" w:eastAsia="Times New Roman" w:hAnsi="Arial" w:cs="Arial"/>
                <w:color w:val="CCFFFF"/>
                <w:sz w:val="30"/>
                <w:szCs w:val="30"/>
              </w:rPr>
              <w:br/>
            </w:r>
            <w:hyperlink r:id="rId18" w:history="1"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 xml:space="preserve">PPRI No. 1 </w:t>
              </w:r>
              <w:proofErr w:type="spellStart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>Tahun</w:t>
              </w:r>
              <w:proofErr w:type="spellEnd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 xml:space="preserve"> 1945, </w:t>
              </w:r>
              <w:proofErr w:type="spellStart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>Tgl</w:t>
              </w:r>
              <w:proofErr w:type="spellEnd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>. 10-10-1945</w:t>
              </w:r>
            </w:hyperlink>
            <w:r w:rsidRPr="003B0EC6">
              <w:rPr>
                <w:rFonts w:ascii="Arial" w:eastAsia="Times New Roman" w:hAnsi="Arial" w:cs="Arial"/>
                <w:color w:val="CCFFFF"/>
                <w:sz w:val="30"/>
                <w:szCs w:val="30"/>
              </w:rPr>
              <w:t>.</w:t>
            </w:r>
            <w:r w:rsidRPr="003B0EC6">
              <w:rPr>
                <w:rFonts w:ascii="Arial" w:eastAsia="Times New Roman" w:hAnsi="Arial" w:cs="Arial"/>
                <w:color w:val="CCFFFF"/>
                <w:sz w:val="30"/>
                <w:szCs w:val="30"/>
              </w:rPr>
              <w:br/>
            </w:r>
            <w:hyperlink r:id="rId19" w:history="1"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 xml:space="preserve">UURI No. 1 </w:t>
              </w:r>
              <w:proofErr w:type="spellStart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>Tahun</w:t>
              </w:r>
              <w:proofErr w:type="spellEnd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 xml:space="preserve"> 1945, </w:t>
              </w:r>
              <w:proofErr w:type="spellStart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>Tgl</w:t>
              </w:r>
              <w:proofErr w:type="spellEnd"/>
              <w:r w:rsidRPr="003B0EC6">
                <w:rPr>
                  <w:rFonts w:ascii="Arial" w:eastAsia="Times New Roman" w:hAnsi="Arial" w:cs="Arial"/>
                  <w:color w:val="0000FF"/>
                  <w:sz w:val="30"/>
                  <w:szCs w:val="30"/>
                  <w:u w:val="single"/>
                </w:rPr>
                <w:t>. 23-11-1945</w:t>
              </w:r>
            </w:hyperlink>
            <w:r w:rsidRPr="003B0EC6">
              <w:rPr>
                <w:rFonts w:ascii="Arial" w:eastAsia="Times New Roman" w:hAnsi="Arial" w:cs="Arial"/>
                <w:color w:val="CCFFFF"/>
                <w:sz w:val="30"/>
                <w:szCs w:val="30"/>
              </w:rPr>
              <w:t>.</w:t>
            </w:r>
          </w:p>
        </w:tc>
        <w:tc>
          <w:tcPr>
            <w:tcW w:w="1302" w:type="dxa"/>
            <w:shd w:val="clear" w:color="auto" w:fill="CCFFFF"/>
            <w:vAlign w:val="center"/>
            <w:hideMark/>
          </w:tcPr>
          <w:p w:rsidR="003B0EC6" w:rsidRPr="003B0EC6" w:rsidRDefault="003B0EC6" w:rsidP="003B0E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EC6">
              <w:rPr>
                <w:rFonts w:ascii="Arial" w:eastAsia="Times New Roman" w:hAnsi="Arial" w:cs="Arial"/>
                <w:sz w:val="20"/>
                <w:szCs w:val="20"/>
              </w:rPr>
              <w:t>Banda Aceh</w:t>
            </w:r>
          </w:p>
        </w:tc>
        <w:tc>
          <w:tcPr>
            <w:tcW w:w="1032" w:type="dxa"/>
            <w:shd w:val="clear" w:color="auto" w:fill="CCFFFF"/>
            <w:vAlign w:val="center"/>
            <w:hideMark/>
          </w:tcPr>
          <w:p w:rsidR="003B0EC6" w:rsidRPr="003B0EC6" w:rsidRDefault="003B0EC6" w:rsidP="003B0E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B0E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5.</w:t>
            </w:r>
            <w:bookmarkStart w:id="0" w:name="_GoBack"/>
            <w:bookmarkEnd w:id="0"/>
            <w:r w:rsidRPr="003B0E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066.831</w:t>
            </w:r>
          </w:p>
        </w:tc>
        <w:tc>
          <w:tcPr>
            <w:tcW w:w="2433" w:type="dxa"/>
            <w:shd w:val="clear" w:color="auto" w:fill="CCFFFF"/>
            <w:vAlign w:val="center"/>
            <w:hideMark/>
          </w:tcPr>
          <w:p w:rsidR="003B0EC6" w:rsidRPr="003B0EC6" w:rsidRDefault="003B0EC6" w:rsidP="003B0E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B0EC6">
              <w:rPr>
                <w:rFonts w:ascii="Arial" w:eastAsia="Times New Roman" w:hAnsi="Arial" w:cs="Arial"/>
                <w:sz w:val="20"/>
                <w:szCs w:val="20"/>
              </w:rPr>
              <w:t>57.956,00</w:t>
            </w:r>
          </w:p>
        </w:tc>
      </w:tr>
    </w:tbl>
    <w:p w:rsidR="00896445" w:rsidRDefault="00896445" w:rsidP="00896445"/>
    <w:p w:rsidR="00896445" w:rsidRDefault="00896445" w:rsidP="00896445"/>
    <w:p w:rsidR="00896445" w:rsidRDefault="00896445" w:rsidP="00896445"/>
    <w:p w:rsidR="00896445" w:rsidRDefault="00896445" w:rsidP="00896445"/>
    <w:p w:rsidR="00896445" w:rsidRDefault="00896445" w:rsidP="00896445"/>
    <w:p w:rsidR="00896445" w:rsidRDefault="00896445" w:rsidP="00896445"/>
    <w:p w:rsidR="00896445" w:rsidRDefault="00896445" w:rsidP="00896445"/>
    <w:p w:rsidR="00896445" w:rsidRDefault="00896445" w:rsidP="00896445"/>
    <w:p w:rsidR="00896445" w:rsidRDefault="00896445" w:rsidP="00896445"/>
    <w:p w:rsidR="00896445" w:rsidRDefault="00896445" w:rsidP="00896445"/>
    <w:p w:rsidR="00896445" w:rsidRDefault="00896445" w:rsidP="00896445"/>
    <w:p w:rsidR="00896445" w:rsidRDefault="00896445" w:rsidP="00896445"/>
    <w:p w:rsidR="00896445" w:rsidRDefault="00896445" w:rsidP="00896445"/>
    <w:p w:rsidR="00896445" w:rsidRDefault="00896445" w:rsidP="00896445"/>
    <w:p w:rsidR="00896445" w:rsidRDefault="00896445" w:rsidP="00896445"/>
    <w:p w:rsidR="00896445" w:rsidRDefault="00896445" w:rsidP="00896445">
      <w:pPr>
        <w:ind w:left="2880" w:firstLine="720"/>
      </w:pPr>
      <w:r>
        <w:t>PEKERJAAN WARGA ACEH</w:t>
      </w:r>
    </w:p>
    <w:p w:rsidR="00896445" w:rsidRPr="00896445" w:rsidRDefault="00896445" w:rsidP="008964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644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Meulancang</w:t>
      </w:r>
      <w:proofErr w:type="spellEnd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>memasak</w:t>
      </w:r>
      <w:proofErr w:type="spellEnd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garam).</w:t>
      </w:r>
    </w:p>
    <w:p w:rsidR="00896445" w:rsidRPr="00896445" w:rsidRDefault="00896445" w:rsidP="008964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meulancang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sebahagian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 yang  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mendiami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pinggir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pantai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Aceh.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mendirikan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pondok-pondok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pinggir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lancang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6445" w:rsidRDefault="00896445" w:rsidP="00896445"/>
    <w:p w:rsidR="00896445" w:rsidRPr="00896445" w:rsidRDefault="00896445" w:rsidP="008964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>Menangkap</w:t>
      </w:r>
      <w:proofErr w:type="spellEnd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>berbagai</w:t>
      </w:r>
      <w:proofErr w:type="spellEnd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>jennis</w:t>
      </w:r>
      <w:proofErr w:type="spellEnd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>siput</w:t>
      </w:r>
      <w:proofErr w:type="spellEnd"/>
    </w:p>
    <w:p w:rsidR="00896445" w:rsidRPr="00896445" w:rsidRDefault="00896445" w:rsidP="008964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6445">
        <w:rPr>
          <w:rFonts w:ascii="Times New Roman" w:eastAsia="Times New Roman" w:hAnsi="Times New Roman" w:cs="Times New Roman"/>
          <w:i/>
          <w:iCs/>
          <w:sz w:val="24"/>
          <w:szCs w:val="24"/>
        </w:rPr>
        <w:t>Cue</w:t>
      </w:r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langkitang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kleung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lokan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binatang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molluaca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digemari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 Aceh.</w:t>
      </w:r>
    </w:p>
    <w:p w:rsidR="00896445" w:rsidRDefault="00896445" w:rsidP="00896445"/>
    <w:p w:rsidR="00896445" w:rsidRPr="00896445" w:rsidRDefault="00896445" w:rsidP="008964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>Penjaja</w:t>
      </w:r>
      <w:proofErr w:type="spellEnd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>ikan</w:t>
      </w:r>
      <w:proofErr w:type="spellEnd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896445" w:rsidRPr="00896445" w:rsidRDefault="00896445" w:rsidP="008964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Aceh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Jame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sekelompok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orang yang  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pencahariannya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menjajaikan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, di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Aceh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mageungkot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Jame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i/>
          <w:iCs/>
          <w:sz w:val="24"/>
          <w:szCs w:val="24"/>
        </w:rPr>
        <w:t>mugelauk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6445" w:rsidRDefault="00896445" w:rsidP="00896445"/>
    <w:p w:rsidR="00896445" w:rsidRPr="00896445" w:rsidRDefault="00896445" w:rsidP="008964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>Membelah</w:t>
      </w:r>
      <w:proofErr w:type="spellEnd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>papan</w:t>
      </w:r>
      <w:proofErr w:type="spellEnd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896445" w:rsidRPr="00896445" w:rsidRDefault="00896445" w:rsidP="008964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Aceh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Jame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sekelompok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orang yang  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pergi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membelah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kayu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alat-alat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gunung-gunung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Aceh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seumeuplah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Didaerah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Jame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membalah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6445" w:rsidRDefault="00896445" w:rsidP="00896445"/>
    <w:p w:rsidR="00896445" w:rsidRPr="00896445" w:rsidRDefault="00896445" w:rsidP="008964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>Memanjat</w:t>
      </w:r>
      <w:proofErr w:type="spellEnd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>kelapa</w:t>
      </w:r>
      <w:proofErr w:type="spellEnd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896445" w:rsidRPr="00896445" w:rsidRDefault="00896445" w:rsidP="008964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Aceh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Jame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jugasekelompokorang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yang  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kerjanya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upahmemanjat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kelapa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6445" w:rsidRDefault="00896445" w:rsidP="00896445"/>
    <w:p w:rsidR="00896445" w:rsidRPr="00896445" w:rsidRDefault="00896445" w:rsidP="008964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>Penggalas</w:t>
      </w:r>
      <w:proofErr w:type="spellEnd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>mengikuti</w:t>
      </w:r>
      <w:proofErr w:type="spellEnd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uroe</w:t>
      </w:r>
      <w:proofErr w:type="spellEnd"/>
      <w:r w:rsidRPr="0089644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ganto</w:t>
      </w:r>
      <w:proofErr w:type="spellEnd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>peukan</w:t>
      </w:r>
      <w:proofErr w:type="spellEnd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>hari</w:t>
      </w:r>
      <w:proofErr w:type="spellEnd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>pasar</w:t>
      </w:r>
      <w:proofErr w:type="spellEnd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</w:p>
    <w:p w:rsidR="00896445" w:rsidRPr="00896445" w:rsidRDefault="00896445" w:rsidP="008964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Aceh,Jame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Tamiang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sekelompok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orang yang  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kerjanya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penjaja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penggala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yang  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pasaran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6445" w:rsidRDefault="00896445" w:rsidP="00896445"/>
    <w:p w:rsidR="00896445" w:rsidRPr="00896445" w:rsidRDefault="00896445" w:rsidP="008964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>Menarik</w:t>
      </w:r>
      <w:proofErr w:type="spellEnd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>getah</w:t>
      </w:r>
      <w:proofErr w:type="spellEnd"/>
      <w:r w:rsidRPr="0089644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896445" w:rsidRPr="00896445" w:rsidRDefault="00896445" w:rsidP="008964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daerah-daerah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yang  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kebun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para,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Seumanyam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Tamiang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Singkil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didapati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orang yang  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kejanya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6445">
        <w:rPr>
          <w:rFonts w:ascii="Times New Roman" w:eastAsia="Times New Roman" w:hAnsi="Times New Roman" w:cs="Times New Roman"/>
          <w:sz w:val="24"/>
          <w:szCs w:val="24"/>
        </w:rPr>
        <w:t>getah</w:t>
      </w:r>
      <w:proofErr w:type="spellEnd"/>
      <w:r w:rsidRPr="008964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6445" w:rsidRDefault="00896445" w:rsidP="00896445"/>
    <w:sectPr w:rsidR="0089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45"/>
    <w:rsid w:val="0017089D"/>
    <w:rsid w:val="003B0EC6"/>
    <w:rsid w:val="00896445"/>
    <w:rsid w:val="00CC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47BE"/>
  <w15:chartTrackingRefBased/>
  <w15:docId w15:val="{705EF316-5CD5-4576-BC94-9D27FC5A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64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mor.net/_kodepos.php?_i=uuri-provinsi&amp;daerah=Provinsi&amp;jobs=Nanggroe%20Aceh%20Darussalam%20%28NAD%29&amp;perhal=200&amp;sby=110000&amp;asc=00010&amp;urut=5" TargetMode="External"/><Relationship Id="rId13" Type="http://schemas.openxmlformats.org/officeDocument/2006/relationships/hyperlink" Target="http://www.nomor.net/_kodepos.php?_i=undang-undang&amp;sby=110000&amp;nkri=uu2001-no18" TargetMode="External"/><Relationship Id="rId18" Type="http://schemas.openxmlformats.org/officeDocument/2006/relationships/hyperlink" Target="http://www.nomor.net/_kodepos.php?_i=undang-undang&amp;sby=110000&amp;nkri=pp1945-no1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nomor.net/_kodepos.php?_i=uuri-provinsi&amp;daerah=Provinsi&amp;jobs=Nanggroe%20Aceh%20Darussalam%20%28NAD%29&amp;perhal=200&amp;sby=110000&amp;asc=00111&amp;urut=3" TargetMode="External"/><Relationship Id="rId12" Type="http://schemas.openxmlformats.org/officeDocument/2006/relationships/hyperlink" Target="http://www.nomor.net/_kodepos.php?_i=undang-undang&amp;sby=110000&amp;nkri=uu2006-no11" TargetMode="External"/><Relationship Id="rId17" Type="http://schemas.openxmlformats.org/officeDocument/2006/relationships/hyperlink" Target="http://www.nomor.net/_kodepos.php?_i=undang-undang&amp;sby=110000&amp;nkri=pp1946-no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omor.net/_kodepos.php?_i=undang-undang&amp;sby=110000&amp;nkri=uu1946-no12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omor.net/_kodepos.php?_i=uuri-provinsi&amp;daerah=Provinsi&amp;jobs=Nanggroe%20Aceh%20Darussalam%20%28NAD%29&amp;perhal=200&amp;sby=110000&amp;asc=01011&amp;urut=2" TargetMode="External"/><Relationship Id="rId11" Type="http://schemas.openxmlformats.org/officeDocument/2006/relationships/hyperlink" Target="http://www.nomor.net/_kodepos.php?_i=kota-kodepos&amp;sby=110000&amp;daerah=Provinsi&amp;jobs=Nanggroe%20Aceh%20Darussalam%20%28NAD%29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nomor.net/_kodepos.php?_i=undang-undang&amp;sby=110000&amp;nkri=uu1956-no24" TargetMode="External"/><Relationship Id="rId10" Type="http://schemas.openxmlformats.org/officeDocument/2006/relationships/hyperlink" Target="http://www.nomor.net/_kodepos.php?_i=uuri-provinsi&amp;daerah=Provinsi&amp;jobs=Nanggroe%20Aceh%20Darussalam%20%28NAD%29&amp;perhal=200&amp;sby=110000&amp;asc=00001&amp;urut=4" TargetMode="External"/><Relationship Id="rId19" Type="http://schemas.openxmlformats.org/officeDocument/2006/relationships/hyperlink" Target="http://www.nomor.net/_kodepos.php?_i=undang-undang&amp;sby=110000&amp;nkri=uu1945-no1" TargetMode="External"/><Relationship Id="rId4" Type="http://schemas.openxmlformats.org/officeDocument/2006/relationships/hyperlink" Target="http://www.nomor.net/_kodepos.php?_i=uuri-provinsi&amp;daerah=Provinsi&amp;jobs=Nanggroe%20Aceh%20Darussalam%20%28NAD%29&amp;perhal=200&amp;sby=110000&amp;asc=10011&amp;urut=1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www.nomor.net/_kodepos.php?_i=undang-undang&amp;sby=110000&amp;nkri=uu1999-no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</dc:creator>
  <cp:keywords/>
  <dc:description/>
  <cp:lastModifiedBy>SETO</cp:lastModifiedBy>
  <cp:revision>2</cp:revision>
  <dcterms:created xsi:type="dcterms:W3CDTF">2017-09-10T17:21:00Z</dcterms:created>
  <dcterms:modified xsi:type="dcterms:W3CDTF">2017-09-10T17:34:00Z</dcterms:modified>
</cp:coreProperties>
</file>