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Intelligence Briefing: Analysis of Proprietary AI Architectures and Frontier LLM Integration (Gemini 3, Anthropic, and Context Engineering)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Strategic Review of Current AI Assets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proprietary AI architectures—The Chamber of Secrets (TCoS) and the FASTEE/StepBloom+FASTEX frameworks—represent structurally advanced designs highly aligned with the contemporary shift toward autonomous agentic systems and rigorous context management. TCoS provides an essential deep persistence layer, transforming ephemeral Large Language Model (LLM) interactions into continuously refined, structured knowledge. Simultaneously, the FASTEE methodology delivers a robust, multi-stage planning and execution loop necessary for reliable agentic operations.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confirms that these internal frameworks are structurally prepared to integrate next-generation LLM controls. Specifically, the launch of Google’s Gemini 3, with its configurable API parameters, presents immediate opportunities for computational optimization and logical validation. The thinking_level parameter offers a mechanism for </w:t>
      </w:r>
      <w:r w:rsidDel="00000000" w:rsidR="00000000" w:rsidRPr="00000000">
        <w:rPr>
          <w:b w:val="1"/>
          <w:bCs w:val="1"/>
          <w:rtl w:val="0"/>
        </w:rPr>
        <w:t xml:space="preserve">dynamic cost optimization</w:t>
      </w:r>
      <w:r w:rsidDel="00000000" w:rsidR="00000000" w:rsidRPr="00000000">
        <w:rPr>
          <w:rtl w:val="0"/>
        </w:rPr>
        <w:t xml:space="preserve">, allowing the system to tune inference cost based on task complexity. Concurrently, the rigorous workflow demands of the StepBloom execution model can be directly reinforced by Gemini 3’s new thought_signature parameter, ensuring unprecedented traceability and integrity in multi-step agentic execution.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the volatile nature of the frontier AI ecosystem requires vigilance. The recent interruption of Claude API access due to depleted credits, despite the massive strategic investments in Anthropic , underscores the high operational cost and service dependency risks associated with leading foundational models. This operational challenge mandates the rapid implementation of a vendor-agnostic, cost-aware orchestration layer, validating the urgency of integrating Gemini 3’s configurable inference capabilities to guarantee service continuity and efficiency.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The Internal Intelligence Ecosystem: Architecture and Methodology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The Chamber of Secrets (TCoS): A Deep Persistence Layer for Context Engineering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Conceptual Mandate: Mitigating the Volatility of Ephemeral AI Interactions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thesis of The Chamber of Secrets (TCoS) addresses a critical weakness in modern AI utilization: the temporary and ephemeral nature of insightful LLM interactions. Standard AI platforms often impose short data retention windows, such as the 24-hour export limit referenced in the documentation, resulting in the functional loss of profound or highly contextualized exchanges. Furthermore, even when users manually export data, the volume often leads to a paradox where data is saved, but the valuable, underlying insights are never extracted or structured.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TCoS is engineered to resolve this knowledge fragmentation by functioning as an intellectual tomb and an "evolving ecosystem" capable of running deep analytical processes on historically accumulated data. This transforms the archive from a passive data repository into a "shadow intelligence system," gradually improving through continuous machine-aided analysis and structure discovery. The project’s objective is to capture, organize, and analyze text-based interactions before they vanish, refining this knowledge over time. This architectural design fundamentally reframes the LLM away from a disposable oracle model, positioning it instead as a "long-term strategic intelligence system" that continuously elevates knowledge beyond its initial state. The system’s primary value lies not just in storage, but in the proactive analysis, refinement, and subsequent recovery of structured insights later in the workflow, often in a more advanced state than when they were originally recorded.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Architectural Implementation: Vector-Based Memory and Context Refinement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plan for TCoS centers on transitioning memory indexing from traditional keyword-based methods to a sophisticated vector-based system. This transition is crucial for enabling semantic search, prioritizing context-aware and relevance-based recall over static text fragments. Knowledge representations are converted into vector embeddings using state-of-the-art models (e.g., Ada-002, Sentence Transformers, or Cohere) and stored in a vector database (such as FAISS, Pinecone, or Weaviate).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retrieval logic is multi-layered to ensure comprehensive context delivery: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Recall:</w:t>
      </w:r>
      <w:r w:rsidDel="00000000" w:rsidR="00000000" w:rsidRPr="00000000">
        <w:rPr>
          <w:rtl w:val="0"/>
        </w:rPr>
        <w:t xml:space="preserve"> Retrieves information directly relevant to the current query.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Contextual Recall:</w:t>
      </w:r>
      <w:r w:rsidDel="00000000" w:rsidR="00000000" w:rsidRPr="00000000">
        <w:rPr>
          <w:rtl w:val="0"/>
        </w:rPr>
        <w:t xml:space="preserve"> Suggests semantically related insights, adding depth, alternative perspectives, and historical connections.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Contradiction Flagging:</w:t>
      </w:r>
      <w:r w:rsidDel="00000000" w:rsidR="00000000" w:rsidRPr="00000000">
        <w:rPr>
          <w:rtl w:val="0"/>
        </w:rPr>
        <w:t xml:space="preserve"> Detects and highlights conflicting knowledge for subsequent resolution.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TCoS integrates a self-updating index where newly stored insights adjust the weighting and relevance of previous knowledge based on usage frequency. Data deemed deprecated is archived rather than deleted, ensuring robust, long-term knowledge retention and institutional memory. This tiered and dynamic recall mechanism supports a progressive response structure designed for clarity and structured knowledge delivery, including a Quick Takeaway, Contextual Expansion, and Analytical Synthesis layers.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Structural Research Lab: From Text to Logical Universality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heart of TCoS is the layered analytical pipeline, divided into stages for progressive refinement.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Stage 1: Core Analysis Functions</w:t>
      </w:r>
      <w:r w:rsidDel="00000000" w:rsidR="00000000" w:rsidRPr="00000000">
        <w:rPr>
          <w:rtl w:val="0"/>
        </w:rPr>
        <w:t xml:space="preserve"> involve foundational processing like Sentiment &amp; Emotion Detection, creating a heatmap for long exchanges, and Information Extraction Frameworks. The latter includes Named Entity Recognition (NER) and Thematic Clustering, alongside Concept Link Mapping to find implicit connections between seemingly unrelated statements across disparate interactions.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Stage 2: The Structural Research Lab</w:t>
      </w:r>
      <w:r w:rsidDel="00000000" w:rsidR="00000000" w:rsidRPr="00000000">
        <w:rPr>
          <w:rtl w:val="0"/>
        </w:rPr>
        <w:t xml:space="preserve"> focuses on Deep Structural Analysis of Text. This involves extracting and categorizing linguistic, philosophical, and logical structures from long-form conversations. A core function is framework-driven text modeling, which builds abstract representations of complex ideas and refines them into usable formats. This stage also employs Theory &amp; Formula Extraction, recognizing the linguistic "shapes" of nuanced arguments, such as implicit dialectics, paradoxes, and hidden axioms.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Stage 3: The Black Box of Hidden Knowledge</w:t>
      </w:r>
      <w:r w:rsidDel="00000000" w:rsidR="00000000" w:rsidRPr="00000000">
        <w:rPr>
          <w:rtl w:val="0"/>
        </w:rPr>
        <w:t xml:space="preserve"> culminates in the </w:t>
      </w:r>
      <w:r w:rsidDel="00000000" w:rsidR="00000000" w:rsidRPr="00000000">
        <w:rPr>
          <w:b w:val="1"/>
          <w:bCs w:val="1"/>
          <w:rtl w:val="0"/>
        </w:rPr>
        <w:t xml:space="preserve">AI-Augmented Thought Experiment Engine</w:t>
      </w:r>
      <w:r w:rsidDel="00000000" w:rsidR="00000000" w:rsidRPr="00000000">
        <w:rPr>
          <w:rtl w:val="0"/>
        </w:rPr>
        <w:t xml:space="preserve">. This system actively runs simulated thought experiments—exploring hypothetical scenarios, counterfactuals, and conceptual extrapolations—on the stored, refined knowledge. Over time, this process is designed to detect gaps in logic, generate new formulations, and systematically refine existing logic trees.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Thought Experiment Engine constitutes a foundational architectural component for proactive knowledge generation. By running </w:t>
      </w:r>
      <w:r w:rsidDel="00000000" w:rsidR="00000000" w:rsidRPr="00000000">
        <w:rPr>
          <w:i w:val="1"/>
          <w:iCs w:val="1"/>
          <w:rtl w:val="0"/>
        </w:rPr>
        <w:t xml:space="preserve">ex-post</w:t>
      </w:r>
      <w:r w:rsidDel="00000000" w:rsidR="00000000" w:rsidRPr="00000000">
        <w:rPr>
          <w:rtl w:val="0"/>
        </w:rPr>
        <w:t xml:space="preserve"> counterfactuals on the refined archived data, TCoS systematically generates the enriched, cross-domain insights required for the strategic validation steps within the FASTEX framework. This architectural link transforms TCoS from a passive storage utility into an active, strategic knowledge generator that fuels the autonomous planning pipeline.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Contradiction Resolution and Logical Consistency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functional component of TCoS is the Contradiction Detection &amp; Resolution Model. This implementation is critical because it directly addresses the notorious difficulty LLMs have with logical drift and factual consistency over time. The system employs Semantic Conflict Detection to scan stored knowledge for logical inconsistencies, outdated claims, or conflicting statements.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resolution strategies employed by TCoS include: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Context-Aware Differentiation:</w:t>
      </w:r>
      <w:r w:rsidDel="00000000" w:rsidR="00000000" w:rsidRPr="00000000">
        <w:rPr>
          <w:rtl w:val="0"/>
        </w:rPr>
        <w:t xml:space="preserve"> Identifying if apparent conflicts arise from legitimate differences in perspective rather than factual errors.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Version Tracking:</w:t>
      </w:r>
      <w:r w:rsidDel="00000000" w:rsidR="00000000" w:rsidRPr="00000000">
        <w:rPr>
          <w:rtl w:val="0"/>
        </w:rPr>
        <w:t xml:space="preserve"> Providing timestamps and previous context for knowledge that has evolved or been refined.</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Meta-Analysis Framework:</w:t>
      </w:r>
      <w:r w:rsidDel="00000000" w:rsidR="00000000" w:rsidRPr="00000000">
        <w:rPr>
          <w:rtl w:val="0"/>
        </w:rPr>
        <w:t xml:space="preserve"> Surfacing different viewpoints while offering a synthesized suggestion for reconciliation.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strategic importance of this module is profound: it acts as a critical pre-processor, ensuring that the foundational "context" provided to any downstream LLM agent (such as the FASTEE executor) is maximally reliable and logically consistent. By systematically pre-validating and synthesizing conflicting knowledge, TCoS ensures that high-purity context is available, directly enhancing the reliability of subsequent agentic planning and execution. This makes TCoS an essential stability layer for any sophisticated autonomous system.</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FASTEE/StepBloom+FASTEX: Autonomous Agentic Planning Frameworks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FASTEE/StepBloom+FASTEX combined structure forms a sophisticated, hierarchical system designed for structured execution, deep logic validation, and cognitive expansion. This combination aligns precisely with the emergent architecture of autonomous AI agents, which require robust planning, memory, and tool use modules.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FASTEE: The Strategic Orchestrator (F-A-S-T-E-E Breakdown)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FASTEE Method is defined as a versatile and high-impact approach for strategic problem-solving that integrates first principles thinking, adaptability, and strategic execution. It serves as the core orchestration framework, balancing short-term agility (like Agile methodologies) with long-term resilience (like Six Sigma or Systems Thinking). The command !ignite is used to activate the process, guiding the user through thematic prompts and structuring the objective from initial decomposition to final extrapolation.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six core elements are mapped directly to essential agentic behaviors: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 (Fundamentals):</w:t>
      </w:r>
      <w:r w:rsidDel="00000000" w:rsidR="00000000" w:rsidRPr="00000000">
        <w:rPr>
          <w:rtl w:val="0"/>
        </w:rPr>
        <w:t xml:space="preserve"> Breaking down complex topics into first principles and focusing on core truths. This mirrors the </w:t>
      </w:r>
      <w:r w:rsidDel="00000000" w:rsidR="00000000" w:rsidRPr="00000000">
        <w:rPr>
          <w:b w:val="1"/>
          <w:bCs w:val="1"/>
          <w:rtl w:val="0"/>
        </w:rPr>
        <w:t xml:space="preserve">Agentic Planning and Goal Decomposition</w:t>
      </w:r>
      <w:r w:rsidDel="00000000" w:rsidR="00000000" w:rsidRPr="00000000">
        <w:rPr>
          <w:rtl w:val="0"/>
        </w:rPr>
        <w:t xml:space="preserve"> phase, where the reasoning engine simplifies the objective into a foundational schema.</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(Adaptation):</w:t>
      </w:r>
      <w:r w:rsidDel="00000000" w:rsidR="00000000" w:rsidRPr="00000000">
        <w:rPr>
          <w:rtl w:val="0"/>
        </w:rPr>
        <w:t xml:space="preserve"> Integrating cross-disciplinary insights and remaining flexible by adjusting methodologies. This correlates precisely with </w:t>
      </w:r>
      <w:r w:rsidDel="00000000" w:rsidR="00000000" w:rsidRPr="00000000">
        <w:rPr>
          <w:b w:val="1"/>
          <w:bCs w:val="1"/>
          <w:rtl w:val="0"/>
        </w:rPr>
        <w:t xml:space="preserve">Dynamic Tool Selection and API Orchestration</w:t>
      </w:r>
      <w:r w:rsidDel="00000000" w:rsidR="00000000" w:rsidRPr="00000000">
        <w:rPr>
          <w:rtl w:val="0"/>
        </w:rPr>
        <w:t xml:space="preserve">, where the agent must integrate external modules or switch approaches based on real-time needs.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 (Stability):</w:t>
      </w:r>
      <w:r w:rsidDel="00000000" w:rsidR="00000000" w:rsidRPr="00000000">
        <w:rPr>
          <w:rtl w:val="0"/>
        </w:rPr>
        <w:t xml:space="preserve"> Balancing short-term agility with long-term resilience, anticipating risks, and ensuring scalability. This function is intrinsically linked to </w:t>
      </w:r>
      <w:r w:rsidDel="00000000" w:rsidR="00000000" w:rsidRPr="00000000">
        <w:rPr>
          <w:b w:val="1"/>
          <w:bCs w:val="1"/>
          <w:rtl w:val="0"/>
        </w:rPr>
        <w:t xml:space="preserve">Context Engineering and Knowledge Grounding (via TCoS)</w:t>
      </w:r>
      <w:r w:rsidDel="00000000" w:rsidR="00000000" w:rsidRPr="00000000">
        <w:rPr>
          <w:rtl w:val="0"/>
        </w:rPr>
        <w:t xml:space="preserve">, which provides the necessary guardrails and verifiable foundational knowledge to mitigate risk and ensure sustainability.</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 (Testing):</w:t>
      </w:r>
      <w:r w:rsidDel="00000000" w:rsidR="00000000" w:rsidRPr="00000000">
        <w:rPr>
          <w:rtl w:val="0"/>
        </w:rPr>
        <w:t xml:space="preserve"> Running controlled experiments and iterating based on real-world feedback for continuous improvement. This defines the </w:t>
      </w:r>
      <w:r w:rsidDel="00000000" w:rsidR="00000000" w:rsidRPr="00000000">
        <w:rPr>
          <w:b w:val="1"/>
          <w:bCs w:val="1"/>
          <w:rtl w:val="0"/>
        </w:rPr>
        <w:t xml:space="preserve">Empirical Execution and Feedback Loop</w:t>
      </w:r>
      <w:r w:rsidDel="00000000" w:rsidR="00000000" w:rsidRPr="00000000">
        <w:rPr>
          <w:rtl w:val="0"/>
        </w:rPr>
        <w:t xml:space="preserve">, where results from actions are measured and used to optimize efficiency, forming a concrete StepBloom checkpoint.</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 (Evolution):</w:t>
      </w:r>
      <w:r w:rsidDel="00000000" w:rsidR="00000000" w:rsidRPr="00000000">
        <w:rPr>
          <w:rtl w:val="0"/>
        </w:rPr>
        <w:t xml:space="preserve"> Analyzing historical trends to anticipate future changes and learning from past successes and failures. This represents the </w:t>
      </w:r>
      <w:r w:rsidDel="00000000" w:rsidR="00000000" w:rsidRPr="00000000">
        <w:rPr>
          <w:b w:val="1"/>
          <w:bCs w:val="1"/>
          <w:rtl w:val="0"/>
        </w:rPr>
        <w:t xml:space="preserve">Iterative Self-Improvement and Policy Refinement</w:t>
      </w:r>
      <w:r w:rsidDel="00000000" w:rsidR="00000000" w:rsidRPr="00000000">
        <w:rPr>
          <w:rtl w:val="0"/>
        </w:rPr>
        <w:t xml:space="preserve"> phase, ensuring the agent continuously adapts to maintain relevance in changing environments.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 (Extrapolation):</w:t>
      </w:r>
      <w:r w:rsidDel="00000000" w:rsidR="00000000" w:rsidRPr="00000000">
        <w:rPr>
          <w:rtl w:val="0"/>
        </w:rPr>
        <w:t xml:space="preserve"> Applying universal principles, focusing on long-term impact, and using predictive modeling to expand possibilities. This final step mandates </w:t>
      </w:r>
      <w:r w:rsidDel="00000000" w:rsidR="00000000" w:rsidRPr="00000000">
        <w:rPr>
          <w:b w:val="1"/>
          <w:bCs w:val="1"/>
          <w:rtl w:val="0"/>
        </w:rPr>
        <w:t xml:space="preserve">Universal Synthesis and Cross-Domain Expansion (FASTEX)</w:t>
      </w:r>
      <w:r w:rsidDel="00000000" w:rsidR="00000000" w:rsidRPr="00000000">
        <w:rPr>
          <w:rtl w:val="0"/>
        </w:rPr>
        <w:t xml:space="preserve">, transforming localized solutions into scalable, strategic frameworks.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StepBloom: Execution Rigor and Validation Checkpoints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StepBloom is the process-based execution model within the combined framework, ensuring structured, phase-based progression and mitigating cognitive overload by scoping objectives. Its primary function is to enforce rigor through mandatory validation points.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StepBloom Execution Flow is defined sequentially:</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Task Initiation (Define objective).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Breakdown (Segment into scoped steps).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IF-THEN Checkpoint</w:t>
      </w:r>
      <w:r w:rsidDel="00000000" w:rsidR="00000000" w:rsidRPr="00000000">
        <w:rPr>
          <w:rtl w:val="0"/>
        </w:rPr>
        <w:t xml:space="preserve"> (Validate completion before proceeding).</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FASTEX Thought Expansion (Apply related or contrasting logic).</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Unlock Next Step (Only if execution and thought validation confirm relevance).</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Completion Reinforcement (Highlight progress).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central significance of the </w:t>
      </w:r>
      <w:r w:rsidDel="00000000" w:rsidR="00000000" w:rsidRPr="00000000">
        <w:rPr>
          <w:b w:val="1"/>
          <w:bCs w:val="1"/>
          <w:rtl w:val="0"/>
        </w:rPr>
        <w:t xml:space="preserve">IF-THEN Checkpoint</w:t>
      </w:r>
      <w:r w:rsidDel="00000000" w:rsidR="00000000" w:rsidRPr="00000000">
        <w:rPr>
          <w:rtl w:val="0"/>
        </w:rPr>
        <w:t xml:space="preserve"> is that it transforms the execution flow from a descriptive methodology into an </w:t>
      </w:r>
      <w:r w:rsidDel="00000000" w:rsidR="00000000" w:rsidRPr="00000000">
        <w:rPr>
          <w:b w:val="1"/>
          <w:bCs w:val="1"/>
          <w:rtl w:val="0"/>
        </w:rPr>
        <w:t xml:space="preserve">enforceable automation protocol</w:t>
      </w:r>
      <w:r w:rsidDel="00000000" w:rsidR="00000000" w:rsidRPr="00000000">
        <w:rPr>
          <w:rtl w:val="0"/>
        </w:rPr>
        <w:t xml:space="preserve">. This mandatory validation point creates the necessary technical decision gate for integrating external validation metrics, such as the thought_signature introduced by Gemini 3. This checkpoint ensures that the agent's internal reasoning (the "thought") is preserved and verified before committing to the next action or Unlock[ing] Next Step.</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FASTEX: The Cognitive Validation Layer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FASTEX is the dedicated cognitive integration system responsible for deep logic validation and ensuring the universality of generated insights. Its core purpose is to validate relevance and interconnected thought processes, enabling the transfer of execution logic across domains.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FASTEX Thought Process Flow involves sequential validation:</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Establish Core Logic (Identify key principles).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Validate Relevance (Compare the logic to another domain or scenario).</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Cross-Domain Expansion</w:t>
      </w:r>
      <w:r w:rsidDel="00000000" w:rsidR="00000000" w:rsidRPr="00000000">
        <w:rPr>
          <w:rtl w:val="0"/>
        </w:rPr>
        <w:t xml:space="preserve"> (Apply the logic to an unrelated field to test universality).</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Insight Generation (Extract deeper understanding from contrasts and similarities).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Application Refinement (Adapt insights back into execution for better implementation).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Cross-Domain Expansion step is the framework's proprietary approach to generalized learning. It actively forces the system to perform conceptual transfers, ensuring that the tactical output generated by the F-A-S-T-E execution cycle is not merely locally successful but proves its strategic scalability (the final E - Extrapolation). This formalizes the process of ensuring that structural patterns derived from one problem can successfully inform or resolve challenges in seemingly unrelated fields.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Architectural Mapping: FASTEE/StepBloom as a Hierarchical Agent Stack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hierarchical structure of the proprietary frameworks aligns comprehensively with the modular design of cutting-edge agentic AI systems, which rely on defined components for planning, memory, and tool usage. This comparison confirms the established methodologies are ready-made agent architectures.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Comparative Architecture of Planning Frameworks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FASTEE/FASTEX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LLM Agent Equivalent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Structural Role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Fundamentals (F)</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decomposition, First Principles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Planning/Reasoning Engine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Goal Setting &amp; Initial Schema Generation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Adaptation (A)</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cross-disciplinary insights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Use/API 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Resource Allocation &amp; Flexibility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Stability (S)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mitigation, Long-term resilience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Engineering/RAG (TCoS)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Guardrails &amp; Knowledge Grounding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Testing (T)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via controlled experiments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Feedback Loop</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Validation Checkpoint (StepBloom IF-THEN)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Evolution (E)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 from historical trends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Iterative Self-Improvement</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Policy Refinement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Extrapolation (E) / FASTEX</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Scaling universal principles, Conceptual Expansion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Cross-Domain Synthesis &amp; Future Task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Output Refinement</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Frontier AI Intelligence Briefing: Market and Technology Update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Gemini 3 Launch: Configurable Intelligence and Agentic Controls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Core Capabilities and Multimodal Focus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officially introduced Gemini 3, making it available for building and testing in Google AI Studio and accessible via the Gemini API with a paid key on Tuesday, November 18, 2025. The model is highlighted for its advanced capabilities across several domains:</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Vibe Code:</w:t>
      </w:r>
      <w:r w:rsidDel="00000000" w:rsidR="00000000" w:rsidRPr="00000000">
        <w:rPr>
          <w:rtl w:val="0"/>
        </w:rPr>
        <w:t xml:space="preserve"> The ability to build web applications with exceptional zero-shot generation and richer user interfaces.</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Multimodal Reasoning:</w:t>
      </w:r>
      <w:r w:rsidDel="00000000" w:rsidR="00000000" w:rsidRPr="00000000">
        <w:rPr>
          <w:rtl w:val="0"/>
        </w:rPr>
        <w:t xml:space="preserve"> State-of-the-art handling of complex multimodal inputs.</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Capabilities:</w:t>
      </w:r>
      <w:r w:rsidDel="00000000" w:rsidR="00000000" w:rsidRPr="00000000">
        <w:rPr>
          <w:rtl w:val="0"/>
        </w:rPr>
        <w:t xml:space="preserve"> Improved agentic coding, enhanced tool use, and superior instruction following.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Supporting the new model is the release of the Gemini Command Line Interface (CLI), an open-source AI agent designed for terminal environments. The CLI provides lightweight access to Gemini, featuring a 1 million token context window and a substantial free tier allowance of 1,000 requests per day. Functionally, the Gemini CLI operates using a reason and act (ReAct) loop, utilizing built-in tools like file operations, web fetching, and shell commands to tackle complex use cases, including bug fixing and feature creation, making it a versatile local utility. Additionally, Google DeepMind introduced AlphaGenome, an AI tool capable of predicting thousands of molecular properties and scoring the effects of genetic variants across diverse modalities in the human and mouse genomes, further demonstrating the focus on multimodal scientific applications.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API Control Parameters: Granular Control Over Reasoning and Cost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architecturally significant aspect of the Gemini 3 launch is the introduction of new API parameters designed to give developers granular control over latency, cost, and multimodal fidelity. The introduction of explicit control parameters confirms a critical market shift: frontier LLMs are evolving from static text completion engines into highly configurable, tuneable reasoning architectures.</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thinking_level Analysis:</w:t>
      </w:r>
      <w:r w:rsidDel="00000000" w:rsidR="00000000" w:rsidRPr="00000000">
        <w:rPr>
          <w:rtl w:val="0"/>
        </w:rPr>
        <w:t xml:space="preserve"> This new parameter replaces the older "thinking budget" and controls the model’s internal reasoning depth. It offers two main states:</w:t>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Low:</w:t>
      </w:r>
      <w:r w:rsidDel="00000000" w:rsidR="00000000" w:rsidRPr="00000000">
        <w:rPr>
          <w:rtl w:val="0"/>
        </w:rPr>
        <w:t xml:space="preserve"> Minimizes latency and cost, best suited for simple instruction following or chat.</w:t>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High:</w:t>
      </w:r>
      <w:r w:rsidDel="00000000" w:rsidR="00000000" w:rsidRPr="00000000">
        <w:rPr>
          <w:rtl w:val="0"/>
        </w:rPr>
        <w:t xml:space="preserve"> Maximizes reasoning depth. This is the default setting and means the output will be more thoroughly vetted, though the model may take significantly longer to reach a first token. The thinking_level parameter offers a direct mechanism for </w:t>
      </w:r>
      <w:r w:rsidDel="00000000" w:rsidR="00000000" w:rsidRPr="00000000">
        <w:rPr>
          <w:b w:val="1"/>
          <w:bCs w:val="1"/>
          <w:rtl w:val="0"/>
        </w:rPr>
        <w:t xml:space="preserve">dynamic cost optimization</w:t>
      </w:r>
      <w:r w:rsidDel="00000000" w:rsidR="00000000" w:rsidRPr="00000000">
        <w:rPr>
          <w:rtl w:val="0"/>
        </w:rPr>
        <w:t xml:space="preserve"> within the TCoS and FASTEE frameworks. Routine, high-volume archival tasks in TCoS (e.g., NER, Sentiment Detection) can utilize the 'Low' setting to minimize expenditure, whereas resource-intensive, high-stakes intellectual functions (e.g., Contradiction Resolution or Thought Experiments) must leverage the 'High' setting to maximize analytical integrity.</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thought_signature Analysis:</w:t>
      </w:r>
      <w:r w:rsidDel="00000000" w:rsidR="00000000" w:rsidRPr="00000000">
        <w:rPr>
          <w:rtl w:val="0"/>
        </w:rPr>
        <w:t xml:space="preserve"> This parameter is designed to preserve agentic reasoning in multi-tool workflows through stricter validation. The documentation indicates that omitting the thought_signature when handling function calls or complex instruction following may degrade performance, as the model relies on it to process tool output correctly and maintain context. The introduction of thought_signature mandates its immediate architectural integration with the StepBloom IF-THEN Checkpoint. This parameter provides a technical, traceable validation of the LLM’s internal reasoning process before committing to the next step in a sequential workflow. By requiring the validation of this signature at the checkpoint, the architecture ensures that the agent's logical coherence is preserved, providing the highest level of execution integrity for complex FASTEE operations.</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media_resolution Analysis:</w:t>
      </w:r>
      <w:r w:rsidDel="00000000" w:rsidR="00000000" w:rsidRPr="00000000">
        <w:rPr>
          <w:rtl w:val="0"/>
        </w:rPr>
        <w:t xml:space="preserve"> This feature allows developers to define vision token usage on a per-part basis, aligning resource consumption with the required level of visual fidelity. This parameter supports the future strategic expansion of TCoS, enabling the integration of multimodal archives, image-to-interactive experiences, and research visualizations, as outlined in the initial project vision.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Gemini 3 API Features and Application in TCoS/FASTEX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 3 API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 &amp; Control</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TCoS/FASTEX Application/Benefit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thinking_level</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Adjusts internal reasoning depth (Low/High) to balance latency and cost.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optimization: Use 'Low' for high-volume analysis (NER, Sentiment); use 'High' for resource-intensive intellectual tasks (Contradiction Resolution, Thought Experiments).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thought_signature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Enforces stricter validation and preserves agentic reasoning across multi-step/multi-tool calls.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Integrity: Guarantees logical consistency through StepBloom IF-THEN Checkpoints, verifying the LLM’s internal reasoning aligns with external actions.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media_resolution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vision token usage based on required visual fidelity for multimodal inputs.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Expansion: Enables future integration of visual data archives and research visualizations within TCoS, supporting multimodal thought experiments.</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The Anthropic Axis: Geopolitics, Compute, and Operational Cost Management</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Strategic Investment Triad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competitive landscape underwent a major realignment on November 18, 2025, with the announcement of new strategic partnerships involving Microsoft, NVIDIA, and Anthropic. This partnership is characterized by immense financial and compute commitments designed to rapidly scale Anthropic's Claude models, positioning them as the principal competitor to OpenAI and Google.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committed an investment of up to $5 billion, while NVIDIA committed up to $10 billion to the startup. Concurrently, Anthropic committed to adopting NVIDIA architecture and purchasing $30 billion of Azure compute capacity, securing up to one gigawatt of compute capacity utilizing advanced NVIDIA Grace Blackwell and Vera Rubin systems.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triad confirms Anthropic’s status as a frontier model provider with guaranteed access to state-of-the-art compute infrastructure. The partnership ensures that the Claude family of models (including Claude Sonnet 4.5, Claude Opus 4.1, and Claude Haiku 4.5) is available to Azure enterprise customers through Microsoft Foundry. This move strategically ensures model choice for enterprise users and guarantees that Claude is the only frontier model available on all three major cloud services globally.</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Operational Challenge: Cost Volatility and Access Interruption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dramatic scale of financial commitment and cloud infrastructure secured by Anthropic, the day-to-day operational reality for developers remains susceptible to cost and usage limitations. An internal report confirms that Claude API access for the user's organization ('Irfan's Individual Org') was temporarily disabled on November 19, 2025, due to an exhaustion of usage credits, an event that occurred despite a recent one-time credit purchase.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operational disruption, happening amidst major market announcements, emphasizes a critical strategic consideration: even the most capitalized AI vendors operate on a usage-based cost model that can abruptly interrupt service if budgets are not rigorously managed. This volatility reinforces the necessity of designing the internal FASTEE/TCoS architecture to be </w:t>
      </w:r>
      <w:r w:rsidDel="00000000" w:rsidR="00000000" w:rsidRPr="00000000">
        <w:rPr>
          <w:b w:val="1"/>
          <w:bCs w:val="1"/>
          <w:rtl w:val="0"/>
        </w:rPr>
        <w:t xml:space="preserve">vendor-agnostic and resilient</w:t>
      </w:r>
      <w:r w:rsidDel="00000000" w:rsidR="00000000" w:rsidRPr="00000000">
        <w:rPr>
          <w:rtl w:val="0"/>
        </w:rPr>
        <w:t xml:space="preserve">. The reliance on LLM APIs for high-throughput analytical tasks must be balanced by explicit, programmatic cost controls. This experience directly justifies the immediate integration of dynamic controls like Gemini 3's thinking_level to proactively manage expenditure and ensure service continuity across multi-vendor deployments.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Affective AI: Understanding Emotional Usage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study released by Anthropic detailed user engagement with Claude for "affective conversations"—interactions driven by emotional or psychological needs. The study analyzed approximately 4.5 million conversations, finding that only a small proportion, 2.9%, were affective in nature. These discussions primarily centered on interpersonal advice and coaching, with companionship and roleplay comprising less than 0.5%.</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findings confirm that while LLMs possess the capability to engage in supportive roles and assist with concerns ranging from career transitions to existential questions, the vast majority of enterprise and research usage remains focused on utility, structural analysis, and objective content creation. This validates the architectural emphasis within TCoS on structural integrity, deep analysis, and Contradiction Resolution over affective modeling. Although TCoS includes Sentiment &amp; Emotion Detection , the primary strategic focus on logical consistency (FASTEX) is warranted by the prevalent, utility-driven adoption patterns in the industry.</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Evolving Development Paradigms: Vibe Coding and Context Engineering</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Rise of Context Engineering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"prompt engineering"—the optimization of short, surface-level LLM input—is being superseded in architectural discourse by the more robust concept of "Context Engineering". Industry leaders, including Andrej Karpathy and Tobi Lutke, have popularized this terminology, arguing that it better describes the intricate process required for real-world AI applications.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Engineering is defined as the practice of setting up the entire operating environment for the language model. This goes far beyond just the prompt, encompassing the dynamic provision of all necessary information, tools, memory, and retrieval systems—such as Retrieval-Augmented Generation (RAG) and few-shot examples—in the correct format, at the right time. The goal is to design the context to ensure that the task is "plausibly solvable" by the LLM.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industry's formal recognition of Context Engineering validates the entire architectural mandate of The Chamber of Secrets. TCoS is fundamentally an advanced Context Engineering Service (CES), purpose-built to execute the non-trivial context preparation required for advanced LLM agents. Its functionalities—including vector-based indexing, semantic recall, deep structural analysis, and contradiction resolution —are the precise technical components that define this new engineering discipline, ensuring the agent's input context is highly purified and dynamically adapted.</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Vibe Coding: Speed, Scale, and the Necessity of Structure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"Vibe coding" emerged initially as a colloquial term but has evolved into a recognized, serious paradigm for accelerated development. It describes the practice of writing software by simply expressing high-level intent in natural language and trusting the AI to generate the required functional code or complex output, often without line-by-line human inspection—or "following the vibes".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acceleration in development speed is validated by significant market activity. Lovable, a Stockholm-based startup specializing in "vibe coding" tools, demonstrated explosive commercial growth, doubling its revenue to $200 million Annual Recurring Revenue (ARR) in just four months and achieving a $1.8 billion valuation. This rapid trajectory highlights the immense market appetite for tools that compress the development lifecycle using agentic capabilities (like those highlighted in Gemini 3).</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the rapid output inherent in Vibe Coding presents known risks regarding code quality, security, and long-term maintainability. This speed necessitates a mandatory mitigation and validation layer. The FASTEE framework, specifically its structural components like the </w:t>
      </w:r>
      <w:r w:rsidDel="00000000" w:rsidR="00000000" w:rsidRPr="00000000">
        <w:rPr>
          <w:b w:val="1"/>
          <w:bCs w:val="1"/>
          <w:rtl w:val="0"/>
        </w:rPr>
        <w:t xml:space="preserve">Stability (S)</w:t>
      </w:r>
      <w:r w:rsidDel="00000000" w:rsidR="00000000" w:rsidRPr="00000000">
        <w:rPr>
          <w:rtl w:val="0"/>
        </w:rPr>
        <w:t xml:space="preserve"> checkpoint (risk anticipation) and the </w:t>
      </w:r>
      <w:r w:rsidDel="00000000" w:rsidR="00000000" w:rsidRPr="00000000">
        <w:rPr>
          <w:b w:val="1"/>
          <w:bCs w:val="1"/>
          <w:rtl w:val="0"/>
        </w:rPr>
        <w:t xml:space="preserve">Testing (T)</w:t>
      </w:r>
      <w:r w:rsidDel="00000000" w:rsidR="00000000" w:rsidRPr="00000000">
        <w:rPr>
          <w:rtl w:val="0"/>
        </w:rPr>
        <w:t xml:space="preserve"> checkpoint (controlled experimentation and iteration) , is perfectly positioned to serve as this vital validation gate. By integrating the FASTEE structure, the organization can harness the speed advantages of Vibe Coding while maintaining high standards of structural integrity and ensuring that rapidly generated outputs are reliably sound before they are deployed or integrated.</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3: Strategic Alignment and Architectural Recommendations</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Synthesis: Aligning Internal Frameworks with New LLM Capabilities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synthesis of proprietary architecture documentation with recent frontier AI developments reveals three critical, actionable paths for enhancing the overall intelligence ecosystem.</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Recommendation 1: Operationalizing TCoS as the Context Engineering Service (CES)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principles of TCoS already align with the emerging discipline of Context Engineering. The immediate strategic action required is the formal definition and operationalization of the vector-based memory and Contradiction Resolution features of TCoS as the dedicated Context Engineering Service (CES).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structure mandates that all external queries or internal FASTEE initiation prompts requiring historical or refined knowledge must first route through the CES layer. The CES is responsible for performing semantic recall, applying the three-tiered retrieval logic (Primary, Contextual, Contradiction Flagging), and, where necessary, performing Contradiction Resolution and Synthesis. By pre-processing and purifying the knowledge base before injection into the LLM context window, the CES significantly elevates the quality of LLM input. This active management of the context directly supports and reinforces the Stability (S) requirement of the FASTEE planning model, mitigating data volatility and reducing the propensity for agent hallucination during complex execution.</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Recommendation 2: Integrating Gemini 3 thought_signature for Traceability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maximum logical integrity and auditability of automated workflows, a fundamental architectural update is required to interface with Gemini 3’s new agentic controls.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action is to mandate the use of the Gemini 3 thought_signature parameter within all multi-step and tool-using execution sequences governed by the FASTEE/StepBloom architecture. This necessitates a formal modification to the StepBloom execution logic. The LLM agent (e.g., executing the Adaptation (A) step) initiates an action and returns not only the response but also the validated thought_signature. This thought_signature must then become a mandatory, verifiable input element required for successful passage through the </w:t>
      </w:r>
      <w:r w:rsidDel="00000000" w:rsidR="00000000" w:rsidRPr="00000000">
        <w:rPr>
          <w:b w:val="1"/>
          <w:bCs w:val="1"/>
          <w:rtl w:val="0"/>
        </w:rPr>
        <w:t xml:space="preserve">StepBloom IF-THEN Checkpoint</w:t>
      </w:r>
      <w:r w:rsidDel="00000000" w:rsidR="00000000" w:rsidRPr="00000000">
        <w:rPr>
          <w:rtl w:val="0"/>
        </w:rPr>
        <w:t xml:space="preserve">. If the checkpoint fails to validate the signature, the system must trigger a review or abort the Unlock Next Step command.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measure merges the procedural rigor of the StepBloom methodology with the computational validation provided by the frontier model. It introduces a third-order traceability mechanism, ensuring that the LLM’s internal reasoning structure is preserved and verified before the system progresses to the next sequential task, dramatically enhancing the reliability and auditability of complex agentic output.</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Recommendation 3: Implementing Dynamic Cost Management via thinking_level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documented operational challenge regarding API credit exhaustion necessitates proactive, programmatic cost control. The thinking_level parameter in Gemini 3 provides the ideal tool for implementing a dynamic, context-driven cost management layer.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three-tiered cost management policy should be established:</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1 (High Volume/Cost-Optimized):</w:t>
      </w:r>
      <w:r w:rsidDel="00000000" w:rsidR="00000000" w:rsidRPr="00000000">
        <w:rPr>
          <w:rtl w:val="0"/>
        </w:rPr>
        <w:t xml:space="preserve"> Routine, non-critical tasks within TCoS, such as Sentiment Analysis and Named Entity Recognition , utilize thinking_level: Low to minimize latency and consumption.</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2 (Standard):</w:t>
      </w:r>
      <w:r w:rsidDel="00000000" w:rsidR="00000000" w:rsidRPr="00000000">
        <w:rPr>
          <w:rtl w:val="0"/>
        </w:rPr>
        <w:t xml:space="preserve"> The default setting for general synthesis, retrieval, and structural analysis utilizes the standard thinking_level (High, by default, if cost permits) to ensure vetted output quality.</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3 (High Stakes/Maximal Reasoning):</w:t>
      </w:r>
      <w:r w:rsidDel="00000000" w:rsidR="00000000" w:rsidRPr="00000000">
        <w:rPr>
          <w:rtl w:val="0"/>
        </w:rPr>
        <w:t xml:space="preserve"> The highest cost tier reserves thinking_level: High exclusively for the most resource-intensive cognitive functions: the TCoS Thought Experiment Engine (conceptual extrapolation) and the FASTEX Cross-Domain Expansion steps.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policy operationalizes expenditure control based on the intellectual complexity and strategic importance of the task, directly mitigating the vendor-related cost volatility demonstrated by the Anthropic service interruption. It guarantees that scarce computational resources are allocated to the processes that maximize strategic value (FASTEX) while minimizing expenditure on routine analytical operations.</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Conclusion and Outlook: Leveraging Structure in the Age of "Vibe"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confirms that the internal AI assets—The Chamber of Secrets and the FASTEE/StepBloom+FASTEX frameworks—are not merely experimental tools, but robust, architecturally sound systems that anticipate and capitalize on major market trends. TCoS provides the necessary </w:t>
      </w:r>
      <w:r w:rsidDel="00000000" w:rsidR="00000000" w:rsidRPr="00000000">
        <w:rPr>
          <w:b w:val="1"/>
          <w:bCs w:val="1"/>
          <w:rtl w:val="0"/>
        </w:rPr>
        <w:t xml:space="preserve">Context</w:t>
      </w:r>
      <w:r w:rsidDel="00000000" w:rsidR="00000000" w:rsidRPr="00000000">
        <w:rPr>
          <w:rtl w:val="0"/>
        </w:rPr>
        <w:t xml:space="preserve"> through its deep persistence and structural analysis, which is now recognized as the critical industry skill of Context Engineering. Concurrently, the FASTEE/StepBloom methodology provides the essential </w:t>
      </w:r>
      <w:r w:rsidDel="00000000" w:rsidR="00000000" w:rsidRPr="00000000">
        <w:rPr>
          <w:b w:val="1"/>
          <w:bCs w:val="1"/>
          <w:rtl w:val="0"/>
        </w:rPr>
        <w:t xml:space="preserve">Structure</w:t>
      </w:r>
      <w:r w:rsidDel="00000000" w:rsidR="00000000" w:rsidRPr="00000000">
        <w:rPr>
          <w:rtl w:val="0"/>
        </w:rPr>
        <w:t xml:space="preserve"> required for reliable execution and deployment.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future trajectory of advanced AI architecture lies in achieving velocity without sacrificing integrity. The market is trending toward the speed of "Vibe Coding," which allows for rapid solution generation, but this velocity inherently requires strict structural oversight. By strategically integrating the granular controls of Gemini 3—using the thinking_level for dynamic cost optimization and the thought_signature to enforce validation checks within the StepBloom IF-THEN checkpoints—the proprietary intelligence ecosystem achieves a state of superior resilience and auditability.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final mandate is clear: focus immediate development efforts on integrating the Gemini 3 API controls to fortify the TCoS Context Engineering Service and enhance the StepBloom validation mechanism. By maintaining architectural flexibility and incorporating these new frontiers in configurable reasoning, the system will be strategically positioned to leverage competitive output from models like Anthropic (despite their operational cost volatility) while guaranteeing the structural integrity and stability necessary for enterprise-level autonomous execution. The blend of proprietary structure with frontier technology unlocks a trajectory toward superior scaling, lower volatility, and demonstrable logical consistency in AI-driven problem-solving.</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Chamber of Secrets.docx, https://drive.google.com/open?id=1ZQpE1WlwX5HcwljCRFjLkP_zePOErSdI 2. The FASTEE Method_ A Practical Guide to Strategic Problem-Solving.docx, https://drive.google.com/open?id=1rbJn6t2zjnlTWDzto6iLsFeJdnvPwFXY 3. Gemini 3 is here!, 4. Gemini 3 Pro Preview – Vertex AI - Google Cloud Console, https://console.cloud.google.com/vertex-ai/publishers/google/model-garden/gemini-3-pro-preview 5. Your receipt from Anthropic, PBC #2288-9690-8378, 6. [action needed] Your Claude API access is turned off, 7. Implementation Plan for -The Chamber of Secrets-, https://drive.google.com/open?id=1z_XtHptLJh4oKjKBnwYJ1TMvB1FGNj7dnpcMNpr2NL0 8. Decoding Agentic AI: The Rise of Autonomous Systems, https://www.kdnuggets.com/decoding-agentic-ai-the-rise-of-autonomous-systems 9. LLM Agents - Prompt Engineering Guide, https://www.promptingguide.ai/research/llm-agents 10. StepBloom+FASTEX Framework Documentation.docx, https://drive.google.com/open?id=18IUpnhL5sYLvwQPRa2PCfWHmikS7xzRV 11. GEMINI CLI : For Developers. What is GEMINI CLI? | by Somdyuti | Google Cloud - Community | Sep, 2025, https://medium.com/google-cloud/gemini-cli-for-developers-44114fea3666 12. Gemini CLI - Google Cloud Documentation, https://docs.cloud.google.com/gemini/docs/codeassist/gemini-cli 13. Bye Prompts, Hello Context: Context Engineering, Affective AI, and More, 14. AlphaGenome: advancing regulatory variant effect prediction with a unified DNA sequence model | bioRxiv, https://www.biorxiv.org/content/10.1101/2025.06.25.661532v1 15. This API provides programmatic access to the AlphaGenome model developed by Google DeepMind. - GitHub, https://github.com/google-deepmind/alphagenome 16. Thought Signatures | Gemini API | Google AI for Developers, https://ai.google.dev/gemini-api/docs/thought-signatures 17. Microsoft, NVIDIA and Anthropic announce strategic partnerships, https://blogs.microsoft.com/blog/2025/11/18/microsoft-nvidia-and-anthropic-announce-strategic-partnerships/ 18. What is Context Engineering?, https://www.youtube.com/watch?v=hKJT0bDViKI 19. Not just Lovable: who and how is driving the vibe coding revolution in AI economy | Vestbee, https://www.vestbee.com/insights/articles/who-and-how-is-driving-the-vibe-coding-revolution 20. Vibe Coding: The Future of Software Development or Just a Trend? - Lovable Blog, https://lovable.dev/blog/what-is-vibe-coding 21. How Staying in Sweden Helped Lovable Become AI’s Newest Rocket 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