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11.png" ContentType="image/png"/>
  <Override PartName="/word/media/rId107.png" ContentType="image/png"/>
  <Override PartName="/word/media/rId97.png" ContentType="image/png"/>
  <Override PartName="/word/media/rId80.png" ContentType="image/png"/>
  <Override PartName="/word/media/rId88.png" ContentType="image/png"/>
  <Override PartName="/word/media/rId76.png" ContentType="image/png"/>
  <Override PartName="/word/media/rId51.png" ContentType="image/png"/>
  <Override PartName="/word/media/rId92.png" ContentType="image/png"/>
  <Override PartName="/word/media/rId36.png" ContentType="image/png"/>
  <Override PartName="/word/media/rId71.png" ContentType="image/png"/>
  <Override PartName="/word/media/rId102.png" ContentType="image/png"/>
  <Override PartName="/word/media/rId55.png" ContentType="image/png"/>
  <Override PartName="/word/media/rId116.png" ContentType="image/png"/>
  <Override PartName="/word/media/rId67.png" ContentType="image/png"/>
  <Override PartName="/word/media/rId47.svg" ContentType="image/svg+xml"/>
  <Override PartName="/word/media/rId136.svg" ContentType="image/svg+xml"/>
  <Override PartName="/word/media/rId60.svg" ContentType="image/svg+xml"/>
  <Override PartName="/word/media/rId132.svg" ContentType="image/svg+xml"/>
  <Override PartName="/word/media/rId84.svg" ContentType="image/svg+xml"/>
  <Override PartName="/word/media/rId120.svg" ContentType="image/svg+xml"/>
  <Override PartName="/word/media/rId42.svg" ContentType="image/svg+xml"/>
  <Override PartName="/word/media/rId2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Trackly Technical Documentation</w:t>
      </w:r>
    </w:p>
    <w:p>
      <w:pPr>
        <w:pStyle w:val="Subtitle"/>
      </w:pPr>
      <w:r>
        <w:t xml:space="preserve">Architecture, Development, Features, and Operations</w:t>
      </w:r>
    </w:p>
    <w:p>
      <w:pPr>
        <w:pStyle w:val="Author"/>
      </w:pPr>
      <w:r>
        <w:t xml:space="preserve">Fahmy Akhmad Firdaus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6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Trackly Technical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Architecture, Development, Features, and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Fahmy Akhmad Firdaus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format</w:t>
            </w:r>
          </w:p>
        </w:tc>
        <w:tc>
          <w:tcPr/>
          <w:p>
            <w:pPr>
              <w:pStyle w:val="Compact"/>
            </w:pPr>
            <w:r>
              <w:t xml:space="preserve">A4 portrait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Curated from the Trackly repository and canonical Markdown documentation</w:t>
            </w:r>
          </w:p>
        </w:tc>
      </w:tr>
    </w:tbl>
    <w:p>
      <w:pPr>
        <w:pStyle w:val="BodyText"/>
      </w:pPr>
      <w:r>
        <w:t xml:space="preserve">This book describes the implementation present in the Trackly repository in 2026. It does not reconstruct undocumented project history, promise uncommitted</w:t>
      </w:r>
      <w:r>
        <w:t xml:space="preserve"> </w:t>
      </w:r>
      <w:r>
        <w:t xml:space="preserve">features, or replace the canonical engineering documents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19"/>
    <w:bookmarkStart w:id="20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Trackly is a personal productivity platform built around habits, goals,</w:t>
      </w:r>
      <w:r>
        <w:t xml:space="preserve"> </w:t>
      </w:r>
      <w:r>
        <w:t xml:space="preserve">reminders, and derived analytics. Its implementation pairs a server-rendered</w:t>
      </w:r>
      <w:r>
        <w:t xml:space="preserve"> </w:t>
      </w:r>
      <w:r>
        <w:t xml:space="preserve">Next.js application with a versioned Fastify API and PostgreSQL. The system is</w:t>
      </w:r>
      <w:r>
        <w:t xml:space="preserve"> </w:t>
      </w:r>
      <w:r>
        <w:t xml:space="preserve">designed around authenticated ownership, logical calendar dates, explicit</w:t>
      </w:r>
      <w:r>
        <w:t xml:space="preserve"> </w:t>
      </w:r>
      <w:r>
        <w:t xml:space="preserve">validation, and derived rather than persisted metrics.</w:t>
      </w:r>
    </w:p>
    <w:p>
      <w:pPr>
        <w:pStyle w:val="BodyText"/>
      </w:pPr>
      <w:r>
        <w:t xml:space="preserve">This publication explains how those choices work together. Product chapters</w:t>
      </w:r>
      <w:r>
        <w:t xml:space="preserve"> </w:t>
      </w:r>
      <w:r>
        <w:t xml:space="preserve">show the user-facing behavior; design chapters describe the boundaries behind</w:t>
      </w:r>
      <w:r>
        <w:t xml:space="preserve"> </w:t>
      </w:r>
      <w:r>
        <w:t xml:space="preserve">it; engineering and operations chapters explain how to run, validate, and</w:t>
      </w:r>
      <w:r>
        <w:t xml:space="preserve"> </w:t>
      </w:r>
      <w:r>
        <w:t xml:space="preserve">deploy it safely.</w:t>
      </w:r>
    </w:p>
    <w:p>
      <w:pPr>
        <w:pStyle w:val="BodyText"/>
      </w:pPr>
      <w:r>
        <w:t xml:space="preserve">Tasks and the standalone Insights route are intentionally identified as</w:t>
      </w:r>
      <w:r>
        <w:t xml:space="preserve"> </w:t>
      </w:r>
      <w:r>
        <w:t xml:space="preserve">unimplemented placeholders. Their navigation presence is not evidence of a</w:t>
      </w:r>
      <w:r>
        <w:t xml:space="preserve"> </w:t>
      </w:r>
      <w:r>
        <w:t xml:space="preserve">completed product module.</w:t>
      </w:r>
    </w:p>
    <w:bookmarkEnd w:id="20"/>
    <w:bookmarkStart w:id="21" w:name="how-to-read-this-document"/>
    <w:p>
      <w:pPr>
        <w:pStyle w:val="Heading1"/>
      </w:pPr>
      <w:r>
        <w:t xml:space="preserve">How to Read This Document</w:t>
      </w:r>
    </w:p>
    <w:p>
      <w:pPr>
        <w:pStyle w:val="Compact"/>
        <w:numPr>
          <w:ilvl w:val="0"/>
          <w:numId w:val="1001"/>
        </w:numPr>
      </w:pPr>
      <w:r>
        <w:t xml:space="preserve">Read Parts I and II for architectural orientation.</w:t>
      </w:r>
    </w:p>
    <w:p>
      <w:pPr>
        <w:pStyle w:val="Compact"/>
        <w:numPr>
          <w:ilvl w:val="0"/>
          <w:numId w:val="1001"/>
        </w:numPr>
      </w:pPr>
      <w:r>
        <w:t xml:space="preserve">Use Part III to understand product workflows and business rules.</w:t>
      </w:r>
    </w:p>
    <w:p>
      <w:pPr>
        <w:pStyle w:val="Compact"/>
        <w:numPr>
          <w:ilvl w:val="0"/>
          <w:numId w:val="1001"/>
        </w:numPr>
      </w:pPr>
      <w:r>
        <w:t xml:space="preserve">Use Part IV while developing or reviewing changes.</w:t>
      </w:r>
    </w:p>
    <w:p>
      <w:pPr>
        <w:pStyle w:val="Compact"/>
        <w:numPr>
          <w:ilvl w:val="0"/>
          <w:numId w:val="1001"/>
        </w:numPr>
      </w:pPr>
      <w:r>
        <w:t xml:space="preserve">Use Part V before operating Trackly outside local development.</w:t>
      </w:r>
    </w:p>
    <w:p>
      <w:pPr>
        <w:pStyle w:val="Compact"/>
        <w:numPr>
          <w:ilvl w:val="0"/>
          <w:numId w:val="1001"/>
        </w:numPr>
      </w:pPr>
      <w:r>
        <w:t xml:space="preserve">Use Part VI for contracts, schema lookup, troubleshooting, and terminology.</w:t>
      </w:r>
    </w:p>
    <w:p>
      <w:pPr>
        <w:pStyle w:val="FirstParagraph"/>
      </w:pPr>
      <w:r>
        <w:t xml:space="preserve">The API and database chapters are compact publication references. The canonical</w:t>
      </w:r>
      <w:r>
        <w:t xml:space="preserve"> </w:t>
      </w:r>
      <w:hyperlink w:anchor="chapter-api-reference">
        <w:r>
          <w:rPr>
            <w:rStyle w:val="Hyperlink"/>
          </w:rPr>
          <w:t xml:space="preserve">API reference</w:t>
        </w:r>
      </w:hyperlink>
      <w:r>
        <w:t xml:space="preserve"> </w:t>
      </w:r>
      <w:r>
        <w:t xml:space="preserve">and</w:t>
      </w:r>
      <w:r>
        <w:t xml:space="preserve"> </w:t>
      </w:r>
      <w:hyperlink w:anchor="chapter-database-reference">
        <w:r>
          <w:rPr>
            <w:rStyle w:val="Hyperlink"/>
          </w:rPr>
          <w:t xml:space="preserve">database schema</w:t>
        </w:r>
      </w:hyperlink>
      <w:r>
        <w:t xml:space="preserve"> </w:t>
      </w:r>
      <w:r>
        <w:t xml:space="preserve">remain the exhaustive</w:t>
      </w:r>
      <w:r>
        <w:t xml:space="preserve"> </w:t>
      </w:r>
      <w:r>
        <w:t xml:space="preserve">sources.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Markdown is the source of truth. Mermaid figures in this manuscript are</w:t>
      </w:r>
      <w:r>
        <w:t xml:space="preserve"> </w:t>
      </w:r>
      <w:r>
        <w:t xml:space="preserve">rendering inputs and must be converted to SVG before the final PDF or DOCX is</w:t>
      </w:r>
      <w:r>
        <w:t xml:space="preserve"> </w:t>
      </w:r>
      <w:r>
        <w:t xml:space="preserve">produced.</w:t>
      </w:r>
    </w:p>
    <w:p>
      <w:r>
        <w:br w:type="page"/>
      </w:r>
    </w:p>
    <w:bookmarkEnd w:id="21"/>
    <w:bookmarkStart w:id="22" w:name="part-i-product-and-architecture"/>
    <w:p>
      <w:pPr>
        <w:pStyle w:val="Heading1"/>
      </w:pPr>
      <w:r>
        <w:t xml:space="preserve">Part I — Product and Architecture</w:t>
      </w:r>
    </w:p>
    <w:p>
      <w:r>
        <w:br w:type="page"/>
      </w:r>
    </w:p>
    <w:bookmarkEnd w:id="22"/>
    <w:bookmarkStart w:id="26" w:name="chapter-project-overview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Project Overview</w:t>
      </w:r>
    </w:p>
    <w:p>
      <w:pPr>
        <w:pStyle w:val="FirstParagraph"/>
      </w:pPr>
      <w:r>
        <w:t xml:space="preserve">Trackly combines habit tracking, task-oriented daily context, goal tracking,</w:t>
      </w:r>
      <w:r>
        <w:t xml:space="preserve"> </w:t>
      </w:r>
      <w:r>
        <w:t xml:space="preserve">reminders, preferences, notifications, and analytics in one authenticated</w:t>
      </w:r>
      <w:r>
        <w:t xml:space="preserve"> </w:t>
      </w:r>
      <w:r>
        <w:t xml:space="preserve">application. The implemented center of gravity is habit consistency: schedules</w:t>
      </w:r>
      <w:r>
        <w:t xml:space="preserve"> </w:t>
      </w:r>
      <w:r>
        <w:t xml:space="preserve">produce logical occurrences; check-ins record absolute progress; goals and</w:t>
      </w:r>
      <w:r>
        <w:t xml:space="preserve"> </w:t>
      </w:r>
      <w:r>
        <w:t xml:space="preserve">analytics derive meaning from those source records.</w:t>
      </w:r>
    </w:p>
    <w:bookmarkStart w:id="23" w:name="product-goal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Product Goals</w:t>
      </w:r>
    </w:p>
    <w:p>
      <w:pPr>
        <w:pStyle w:val="Compact"/>
        <w:numPr>
          <w:ilvl w:val="0"/>
          <w:numId w:val="1002"/>
        </w:numPr>
      </w:pPr>
      <w:r>
        <w:t xml:space="preserve">Give users a calm daily view of scheduled work.</w:t>
      </w:r>
    </w:p>
    <w:p>
      <w:pPr>
        <w:pStyle w:val="Compact"/>
        <w:numPr>
          <w:ilvl w:val="0"/>
          <w:numId w:val="1002"/>
        </w:numPr>
      </w:pPr>
      <w:r>
        <w:t xml:space="preserve">Make recurring progress explicit without retaining meaningless zero rows.</w:t>
      </w:r>
    </w:p>
    <w:p>
      <w:pPr>
        <w:pStyle w:val="Compact"/>
        <w:numPr>
          <w:ilvl w:val="0"/>
          <w:numId w:val="1002"/>
        </w:numPr>
      </w:pPr>
      <w:r>
        <w:t xml:space="preserve">Keep data isolated by authenticated ownership.</w:t>
      </w:r>
    </w:p>
    <w:p>
      <w:pPr>
        <w:pStyle w:val="Compact"/>
        <w:numPr>
          <w:ilvl w:val="0"/>
          <w:numId w:val="1002"/>
        </w:numPr>
      </w:pPr>
      <w:r>
        <w:t xml:space="preserve">Respect user-local calendar boundaries across Today, schedules, streaks,</w:t>
      </w:r>
      <w:r>
        <w:t xml:space="preserve"> </w:t>
      </w:r>
      <w:r>
        <w:t xml:space="preserve">reminders, and analytics.</w:t>
      </w:r>
    </w:p>
    <w:p>
      <w:pPr>
        <w:pStyle w:val="Compact"/>
        <w:numPr>
          <w:ilvl w:val="0"/>
          <w:numId w:val="1002"/>
        </w:numPr>
      </w:pPr>
      <w:r>
        <w:t xml:space="preserve">Provide extension points without placing business logic in transport or UI</w:t>
      </w:r>
      <w:r>
        <w:t xml:space="preserve"> </w:t>
      </w:r>
      <w:r>
        <w:t xml:space="preserve">infrastructure.</w:t>
      </w:r>
    </w:p>
    <w:bookmarkEnd w:id="23"/>
    <w:bookmarkStart w:id="24" w:name="implemented-scop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Implemented Scope</w:t>
      </w:r>
    </w:p>
    <w:p>
      <w:pPr>
        <w:pStyle w:val="FirstParagraph"/>
      </w:pPr>
      <w:r>
        <w:t xml:space="preserve">Authentication, Today, categories, habits, goals, analytics, preferences,</w:t>
      </w:r>
      <w:r>
        <w:t xml:space="preserve"> </w:t>
      </w:r>
      <w:r>
        <w:t xml:space="preserve">reminders, durable notification delivery, and browser Web Push are implemented.</w:t>
      </w:r>
      <w:r>
        <w:t xml:space="preserve"> </w:t>
      </w:r>
      <w:r>
        <w:t xml:space="preserve">Tasks have a database/query foundation and placeholder page rather than a</w:t>
      </w:r>
      <w:r>
        <w:t xml:space="preserve"> </w:t>
      </w:r>
      <w:r>
        <w:t xml:space="preserve">completed workflow. Standalone Insights is also a placeholder; analytics</w:t>
      </w:r>
      <w:r>
        <w:t xml:space="preserve"> </w:t>
      </w:r>
      <w:r>
        <w:t xml:space="preserve">insights are implemented inside the Analytics dashboard.</w:t>
      </w:r>
    </w:p>
    <w:bookmarkEnd w:id="24"/>
    <w:bookmarkStart w:id="25" w:name="current-statu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Current Status</w:t>
      </w:r>
    </w:p>
    <w:p>
      <w:pPr>
        <w:pStyle w:val="FirstParagraph"/>
      </w:pPr>
      <w:r>
        <w:t xml:space="preserve">The repository includes production build targets, database migrations,</w:t>
      </w:r>
      <w:r>
        <w:t xml:space="preserve"> </w:t>
      </w:r>
      <w:r>
        <w:t xml:space="preserve">structured logs, health/readiness checks, security controls, and extensive</w:t>
      </w:r>
      <w:r>
        <w:t xml:space="preserve"> </w:t>
      </w:r>
      <w:r>
        <w:t xml:space="preserve">unit/integration coverage. It does not include production orchestration, TLS</w:t>
      </w:r>
      <w:r>
        <w:t xml:space="preserve"> </w:t>
      </w:r>
      <w:r>
        <w:t xml:space="preserve">termination, automated backups, external monitoring, or deployment automation.</w:t>
      </w:r>
    </w:p>
    <w:p>
      <w:r>
        <w:br w:type="page"/>
      </w:r>
    </w:p>
    <w:bookmarkEnd w:id="25"/>
    <w:bookmarkEnd w:id="26"/>
    <w:bookmarkStart w:id="31" w:name="chapter-system-architectur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System Architecture</w:t>
      </w:r>
    </w:p>
    <w:p>
      <w:pPr>
        <w:pStyle w:val="FirstParagraph"/>
      </w:pPr>
      <w:r>
        <w:t xml:space="preserve">Trackly separates browser concerns, server rendering, API transport, domain</w:t>
      </w:r>
      <w:r>
        <w:t xml:space="preserve"> </w:t>
      </w:r>
      <w:r>
        <w:t xml:space="preserve">services, repositories, and persistent data. Authentication is delegated to</w:t>
      </w:r>
      <w:r>
        <w:t xml:space="preserve"> </w:t>
      </w:r>
      <w:r>
        <w:t xml:space="preserve">Better Auth. Reminder processing runs as a separate backend runtime, while Web</w:t>
      </w:r>
      <w:r>
        <w:t xml:space="preserve"> </w:t>
      </w:r>
      <w:r>
        <w:t xml:space="preserve">Push remains behind a provider-neutral dispatcher.</w:t>
      </w:r>
    </w:p>
    <w:bookmarkStart w:id="30" w:name="figure-system-context"/>
    <w:p>
      <w:pPr>
        <w:pStyle w:val="CaptionedFigure"/>
      </w:pPr>
      <w:r>
        <w:drawing>
          <wp:inline>
            <wp:extent cx="3810000" cy="2540000"/>
            <wp:effectExtent b="0" l="0" r="0" t="0"/>
            <wp:docPr descr="Figure 2.1 — Trackly System Context" title="" id="28" name="Picture"/>
            <a:graphic>
              <a:graphicData uri="http://schemas.openxmlformats.org/drawingml/2006/picture">
                <pic:pic>
                  <pic:nvPicPr>
                    <pic:cNvPr descr="../figures/system-context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 — Trackly System Context</w:t>
      </w:r>
    </w:p>
    <w:bookmarkEnd w:id="30"/>
    <w:p>
      <w:pPr>
        <w:pStyle w:val="BodyText"/>
      </w:pPr>
      <w:r>
        <w:t xml:space="preserve">The frontend does not query PostgreSQL. The API does not place SQL in routes or</w:t>
      </w:r>
      <w:r>
        <w:t xml:space="preserve"> </w:t>
      </w:r>
      <w:r>
        <w:t xml:space="preserve">controllers. User-specific reads avoid shared static caches, and ownership</w:t>
      </w:r>
      <w:r>
        <w:t xml:space="preserve"> </w:t>
      </w:r>
      <w:r>
        <w:t xml:space="preserve">filters are applied in repositories.</w:t>
      </w:r>
    </w:p>
    <w:p>
      <w:r>
        <w:br w:type="page"/>
      </w:r>
    </w:p>
    <w:bookmarkEnd w:id="31"/>
    <w:bookmarkStart w:id="32" w:name="chapter-technology-stack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7"/>
        <w:gridCol w:w="3664"/>
        <w:gridCol w:w="3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16, React 19, TypeScript</w:t>
            </w:r>
          </w:p>
        </w:tc>
        <w:tc>
          <w:tcPr/>
          <w:p>
            <w:pPr>
              <w:pStyle w:val="Compact"/>
            </w:pPr>
            <w:r>
              <w:t xml:space="preserve">App Router, server rendering, focused client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4, shadcn/ui conventions, Lucide</w:t>
            </w:r>
          </w:p>
        </w:tc>
        <w:tc>
          <w:tcPr/>
          <w:p>
            <w:pPr>
              <w:pStyle w:val="Compact"/>
            </w:pPr>
            <w:r>
              <w:t xml:space="preserve">Responsive design system and 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Form, Zod</w:t>
            </w:r>
          </w:p>
        </w:tc>
        <w:tc>
          <w:tcPr/>
          <w:p>
            <w:pPr>
              <w:pStyle w:val="Compact"/>
            </w:pPr>
            <w:r>
              <w:t xml:space="preserve">Typed forms and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Axios plus server request utility</w:t>
            </w:r>
          </w:p>
        </w:tc>
        <w:tc>
          <w:tcPr/>
          <w:p>
            <w:pPr>
              <w:pStyle w:val="Compact"/>
            </w:pPr>
            <w:r>
              <w:t xml:space="preserve">Central authenticated frontend API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Accessible analytics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Fastify 5, TypeScript</w:t>
            </w:r>
          </w:p>
        </w:tc>
        <w:tc>
          <w:tcPr/>
          <w:p>
            <w:pPr>
              <w:pStyle w:val="Compact"/>
            </w:pPr>
            <w:r>
              <w:t xml:space="preserve">Plugin-oriented HTTP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Params, query, body, environment, and public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17</w:t>
            </w:r>
          </w:p>
        </w:tc>
        <w:tc>
          <w:tcPr/>
          <w:p>
            <w:pPr>
              <w:pStyle w:val="Compact"/>
            </w:pPr>
            <w:r>
              <w:t xml:space="preserve">Relational ownership and logical-date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Drizzle ORM</w:t>
            </w:r>
          </w:p>
        </w:tc>
        <w:tc>
          <w:tcPr/>
          <w:p>
            <w:pPr>
              <w:pStyle w:val="Compact"/>
            </w:pPr>
            <w:r>
              <w:t xml:space="preserve">Typed schema, queries, relations, and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Better Auth</w:t>
            </w:r>
          </w:p>
        </w:tc>
        <w:tc>
          <w:tcPr/>
          <w:p>
            <w:pPr>
              <w:pStyle w:val="Compact"/>
            </w:pPr>
            <w:r>
              <w:t xml:space="preserve">Users, accounts, sessions, verification,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Vitest, Testing Library, Fastify injection, Playwright tooling</w:t>
            </w:r>
          </w:p>
        </w:tc>
        <w:tc>
          <w:tcPr/>
          <w:p>
            <w:pPr>
              <w:pStyle w:val="Compact"/>
            </w:pPr>
            <w:r>
              <w:t xml:space="preserve">Unit, integration, UI, and publication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Docker, Docker Compose, pnpm workspaces</w:t>
            </w:r>
          </w:p>
        </w:tc>
        <w:tc>
          <w:tcPr/>
          <w:p>
            <w:pPr>
              <w:pStyle w:val="Compact"/>
            </w:pPr>
            <w:r>
              <w:t xml:space="preserve">Repeatable development and production build stages</w:t>
            </w:r>
          </w:p>
        </w:tc>
      </w:tr>
    </w:tbl>
    <w:p>
      <w:pPr>
        <w:pStyle w:val="BodyText"/>
      </w:pPr>
      <w:r>
        <w:t xml:space="preserve">The stack favors explicit TypeScript contracts and libraries that work in both</w:t>
      </w:r>
      <w:r>
        <w:t xml:space="preserve"> </w:t>
      </w:r>
      <w:r>
        <w:t xml:space="preserve">local development and containerized deployment.</w:t>
      </w:r>
    </w:p>
    <w:p>
      <w:r>
        <w:br w:type="page"/>
      </w:r>
    </w:p>
    <w:bookmarkEnd w:id="32"/>
    <w:bookmarkStart w:id="33" w:name="chapter-repository-structur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Trackely/</w:t>
      </w:r>
      <w:r>
        <w:br/>
      </w:r>
      <w:r>
        <w:rPr>
          <w:rStyle w:val="VerbatimChar"/>
        </w:rPr>
        <w:t xml:space="preserve">├── backend/                 Fastify API, scheduler, database, and tests</w:t>
      </w:r>
      <w:r>
        <w:br/>
      </w:r>
      <w:r>
        <w:rPr>
          <w:rStyle w:val="VerbatimChar"/>
        </w:rPr>
        <w:t xml:space="preserve">├── frontend/                Next.js application and UI tests</w:t>
      </w:r>
      <w:r>
        <w:br/>
      </w:r>
      <w:r>
        <w:rPr>
          <w:rStyle w:val="VerbatimChar"/>
        </w:rPr>
        <w:t xml:space="preserve">├── docs/                    Canonical and publication documentation</w:t>
      </w:r>
      <w:r>
        <w:br/>
      </w:r>
      <w:r>
        <w:rPr>
          <w:rStyle w:val="VerbatimChar"/>
        </w:rPr>
        <w:t xml:space="preserve">│   ├── 00-overview/</w:t>
      </w:r>
      <w:r>
        <w:br/>
      </w:r>
      <w:r>
        <w:rPr>
          <w:rStyle w:val="VerbatimChar"/>
        </w:rPr>
        <w:t xml:space="preserve">│   ├── 01-design/</w:t>
      </w:r>
      <w:r>
        <w:br/>
      </w:r>
      <w:r>
        <w:rPr>
          <w:rStyle w:val="VerbatimChar"/>
        </w:rPr>
        <w:t xml:space="preserve">│   ├── 02-features/</w:t>
      </w:r>
      <w:r>
        <w:br/>
      </w:r>
      <w:r>
        <w:rPr>
          <w:rStyle w:val="VerbatimChar"/>
        </w:rPr>
        <w:t xml:space="preserve">│   ├── 03-development/</w:t>
      </w:r>
      <w:r>
        <w:br/>
      </w:r>
      <w:r>
        <w:rPr>
          <w:rStyle w:val="VerbatimChar"/>
        </w:rPr>
        <w:t xml:space="preserve">│   ├── 04-deployment/</w:t>
      </w:r>
      <w:r>
        <w:br/>
      </w:r>
      <w:r>
        <w:rPr>
          <w:rStyle w:val="VerbatimChar"/>
        </w:rPr>
        <w:t xml:space="preserve">│   ├── 05-reference/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└── publication/</w:t>
      </w:r>
      <w:r>
        <w:br/>
      </w:r>
      <w:r>
        <w:rPr>
          <w:rStyle w:val="VerbatimChar"/>
        </w:rPr>
        <w:t xml:space="preserve">├── scripts/docs-screenshots/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└── AGENTS.md</w:t>
      </w:r>
    </w:p>
    <w:p>
      <w:pPr>
        <w:pStyle w:val="FirstParagraph"/>
      </w:pPr>
      <w:r>
        <w:t xml:space="preserve">The workspace contains two application packages rather than an</w:t>
      </w:r>
      <w:r>
        <w:t xml:space="preserve"> </w:t>
      </w:r>
      <w:r>
        <w:rPr>
          <w:rStyle w:val="VerbatimChar"/>
        </w:rPr>
        <w:t xml:space="preserve">apps/</w:t>
      </w:r>
      <w:r>
        <w:t xml:space="preserve"> </w:t>
      </w:r>
      <w:r>
        <w:t xml:space="preserve">or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 </w:t>
      </w:r>
      <w:r>
        <w:t xml:space="preserve">monorepo hierarchy. Database schema and migrations live</w:t>
      </w:r>
      <w:r>
        <w:t xml:space="preserve"> </w:t>
      </w:r>
      <w:r>
        <w:t xml:space="preserve">inside the backend. Repository-wide commands orchestrate both packages.</w:t>
      </w:r>
    </w:p>
    <w:p>
      <w:r>
        <w:br w:type="page"/>
      </w:r>
    </w:p>
    <w:bookmarkEnd w:id="33"/>
    <w:bookmarkStart w:id="34" w:name="part-ii-application-design"/>
    <w:p>
      <w:pPr>
        <w:pStyle w:val="Heading1"/>
      </w:pPr>
      <w:r>
        <w:t xml:space="preserve">Part II — Application Design</w:t>
      </w:r>
    </w:p>
    <w:p>
      <w:r>
        <w:br w:type="page"/>
      </w:r>
    </w:p>
    <w:bookmarkEnd w:id="34"/>
    <w:bookmarkStart w:id="41" w:name="chapter-frontend-architectur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Frontend Architecture</w:t>
      </w:r>
    </w:p>
    <w:p>
      <w:pPr>
        <w:pStyle w:val="FirstParagraph"/>
      </w:pPr>
      <w:r>
        <w:t xml:space="preserve">The frontend uses the Next.js App Router and defaults to React Server</w:t>
      </w:r>
      <w:r>
        <w:t xml:space="preserve"> </w:t>
      </w:r>
      <w:r>
        <w:t xml:space="preserve">Components. Protected route groups obtain the Better Auth session server-side,</w:t>
      </w:r>
      <w:r>
        <w:t xml:space="preserve"> </w:t>
      </w:r>
      <w:r>
        <w:t xml:space="preserve">fetch user-specific data with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, and render stable initial UI. Client</w:t>
      </w:r>
      <w:r>
        <w:t xml:space="preserve"> </w:t>
      </w:r>
      <w:r>
        <w:t xml:space="preserve">Components are limited to forms, mutations, theme control, check-ins, reminder</w:t>
      </w:r>
      <w:r>
        <w:t xml:space="preserve"> </w:t>
      </w:r>
      <w:r>
        <w:t xml:space="preserve">management, and browser Web Push.</w:t>
      </w:r>
    </w:p>
    <w:bookmarkStart w:id="35" w:name="routing-and-layout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Routing and Layout</w:t>
      </w:r>
    </w:p>
    <w:p>
      <w:pPr>
        <w:pStyle w:val="FirstParagraph"/>
      </w:pPr>
      <w:r>
        <w:t xml:space="preserve">Public authentication pages use a dedicated layout. Authenticated routes share</w:t>
      </w:r>
      <w:r>
        <w:t xml:space="preserve"> </w:t>
      </w:r>
      <w:r>
        <w:t xml:space="preserve">an application shell with desktop sidebar, top bar, responsive content area,</w:t>
      </w:r>
      <w:r>
        <w:t xml:space="preserve"> </w:t>
      </w:r>
      <w:r>
        <w:t xml:space="preserve">and fixed mobile navigation. Route-level loading, error, and not-found files</w:t>
      </w:r>
      <w:r>
        <w:t xml:space="preserve"> </w:t>
      </w:r>
      <w:r>
        <w:t xml:space="preserve">provide localized recovery.</w:t>
      </w:r>
    </w:p>
    <w:bookmarkEnd w:id="35"/>
    <w:bookmarkStart w:id="40" w:name="data-and-stat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Data and State</w:t>
      </w:r>
    </w:p>
    <w:p>
      <w:pPr>
        <w:pStyle w:val="Compact"/>
        <w:numPr>
          <w:ilvl w:val="0"/>
          <w:numId w:val="1003"/>
        </w:numPr>
      </w:pPr>
      <w:r>
        <w:t xml:space="preserve">Shareable list and analytics selections live in URL parameters.</w:t>
      </w:r>
    </w:p>
    <w:p>
      <w:pPr>
        <w:pStyle w:val="Compact"/>
        <w:numPr>
          <w:ilvl w:val="0"/>
          <w:numId w:val="1003"/>
        </w:numPr>
      </w:pPr>
      <w:r>
        <w:t xml:space="preserve">React Hook Form owns temporary form state.</w:t>
      </w:r>
    </w:p>
    <w:p>
      <w:pPr>
        <w:pStyle w:val="Compact"/>
        <w:numPr>
          <w:ilvl w:val="0"/>
          <w:numId w:val="1003"/>
        </w:numPr>
      </w:pPr>
      <w:r>
        <w:t xml:space="preserve">Focused component state manages pending and feedback behavior.</w:t>
      </w:r>
    </w:p>
    <w:p>
      <w:pPr>
        <w:pStyle w:val="Compact"/>
        <w:numPr>
          <w:ilvl w:val="0"/>
          <w:numId w:val="1003"/>
        </w:numPr>
      </w:pPr>
      <w:r>
        <w:t xml:space="preserve">No global client data cache or React Query layer is present.</w:t>
      </w:r>
    </w:p>
    <w:p>
      <w:pPr>
        <w:pStyle w:val="Compact"/>
        <w:numPr>
          <w:ilvl w:val="0"/>
          <w:numId w:val="1003"/>
        </w:numPr>
      </w:pPr>
      <w:r>
        <w:t xml:space="preserve">Server requests use a shared parser, timeout, cookie forwarding, and safe</w:t>
      </w:r>
      <w:r>
        <w:t xml:space="preserve"> </w:t>
      </w:r>
      <w:r>
        <w:t xml:space="preserve">error mapping.</w:t>
      </w:r>
    </w:p>
    <w:bookmarkStart w:id="39" w:name="figure-mobile-navigation"/>
    <w:p>
      <w:pPr>
        <w:pStyle w:val="CaptionedFigure"/>
      </w:pPr>
      <w:r>
        <w:drawing>
          <wp:inline>
            <wp:extent cx="2629662" cy="471990"/>
            <wp:effectExtent b="0" l="0" r="0" t="0"/>
            <wp:docPr descr="Figure 5.1 — Mobile Primary Navigation" title="" id="37" name="Picture"/>
            <a:graphic>
              <a:graphicData uri="http://schemas.openxmlformats.org/drawingml/2006/picture">
                <pic:pic>
                  <pic:nvPicPr>
                    <pic:cNvPr descr="../assets/screenshots/mobile-navig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662" cy="471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 — Mobile Primary Navigation</w:t>
      </w:r>
    </w:p>
    <w:bookmarkEnd w:id="39"/>
    <w:p>
      <w:r>
        <w:br w:type="page"/>
      </w:r>
    </w:p>
    <w:bookmarkEnd w:id="40"/>
    <w:bookmarkEnd w:id="41"/>
    <w:bookmarkStart w:id="46" w:name="chapter-backend-architectur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Backend Architecture</w:t>
      </w:r>
    </w:p>
    <w:p>
      <w:pPr>
        <w:pStyle w:val="FirstParagraph"/>
      </w:pPr>
      <w:r>
        <w:t xml:space="preserve">Fastify is assembled in</w:t>
      </w:r>
      <w:r>
        <w:t xml:space="preserve"> </w:t>
      </w:r>
      <w:r>
        <w:rPr>
          <w:rStyle w:val="VerbatimChar"/>
        </w:rPr>
        <w:t xml:space="preserve">app.ts</w:t>
      </w:r>
      <w:r>
        <w:t xml:space="preserve"> </w:t>
      </w:r>
      <w:r>
        <w:t xml:space="preserve">without opening a port.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owns</w:t>
      </w:r>
      <w:r>
        <w:t xml:space="preserve"> </w:t>
      </w:r>
      <w:r>
        <w:t xml:space="preserve">startup and graceful shutdown. Plugins register authentication, database</w:t>
      </w:r>
      <w:r>
        <w:t xml:space="preserve"> </w:t>
      </w:r>
      <w:r>
        <w:t xml:space="preserve">access, request context, security, CORS, rate limiting, Swagger, and centralized</w:t>
      </w:r>
      <w:r>
        <w:t xml:space="preserve"> </w:t>
      </w:r>
      <w:r>
        <w:t xml:space="preserve">errors.</w:t>
      </w:r>
    </w:p>
    <w:bookmarkStart w:id="45" w:name="figure-request-lifecycle"/>
    <w:p>
      <w:pPr>
        <w:pStyle w:val="CaptionedFigure"/>
      </w:pPr>
      <w:r>
        <w:drawing>
          <wp:inline>
            <wp:extent cx="6261100" cy="4411763"/>
            <wp:effectExtent b="0" l="0" r="0" t="0"/>
            <wp:docPr descr="Figure 6.1 — Authenticated Request Lifecycle" title="" id="43" name="Picture"/>
            <a:graphic>
              <a:graphicData uri="http://schemas.openxmlformats.org/drawingml/2006/picture">
                <pic:pic>
                  <pic:nvPicPr>
                    <pic:cNvPr descr="../figures/request-lifecycle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411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6.1 — Authenticated Request Lifecycle</w:t>
      </w:r>
    </w:p>
    <w:bookmarkEnd w:id="45"/>
    <w:p>
      <w:pPr>
        <w:pStyle w:val="BodyText"/>
      </w:pPr>
      <w:r>
        <w:t xml:space="preserve">Controllers translate HTTP input and output. Services enforce business,</w:t>
      </w:r>
      <w:r>
        <w:t xml:space="preserve"> </w:t>
      </w:r>
      <w:r>
        <w:t xml:space="preserve">schedule, and timezone rules. Repositories own database access. This lightweight</w:t>
      </w:r>
      <w:r>
        <w:t xml:space="preserve"> </w:t>
      </w:r>
      <w:r>
        <w:t xml:space="preserve">CQRS separation is most visible in the Habit read and command paths.</w:t>
      </w:r>
    </w:p>
    <w:p>
      <w:r>
        <w:br w:type="page"/>
      </w:r>
    </w:p>
    <w:bookmarkEnd w:id="46"/>
    <w:bookmarkStart w:id="59" w:name="chapter-authenticat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Authentication and Authorization</w:t>
      </w:r>
    </w:p>
    <w:p>
      <w:pPr>
        <w:pStyle w:val="FirstParagraph"/>
      </w:pPr>
      <w:r>
        <w:t xml:space="preserve">Better Auth owns password hashing, accounts, sessions, verification records,</w:t>
      </w:r>
      <w:r>
        <w:t xml:space="preserve"> </w:t>
      </w:r>
      <w:r>
        <w:t xml:space="preserve">cookies, and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. Trackly resolves sessions through Better Auth’s</w:t>
      </w:r>
      <w:r>
        <w:t xml:space="preserve"> </w:t>
      </w:r>
      <w:r>
        <w:t xml:space="preserve">server API rather than decoding cookies. Protected pages redirect to login;</w:t>
      </w:r>
      <w:r>
        <w:t xml:space="preserve"> </w:t>
      </w:r>
      <w:r>
        <w:t xml:space="preserve">protected API routes return the standard 401 error envelope.</w:t>
      </w:r>
    </w:p>
    <w:bookmarkStart w:id="50" w:name="figure-authentication-sequence"/>
    <w:p>
      <w:pPr>
        <w:pStyle w:val="CaptionedFigure"/>
      </w:pPr>
      <w:r>
        <w:drawing>
          <wp:inline>
            <wp:extent cx="6261100" cy="3468082"/>
            <wp:effectExtent b="0" l="0" r="0" t="0"/>
            <wp:docPr descr="Figure 7.3 — Email and Password Authentication Sequence" title="" id="48" name="Picture"/>
            <a:graphic>
              <a:graphicData uri="http://schemas.openxmlformats.org/drawingml/2006/picture">
                <pic:pic>
                  <pic:nvPicPr>
                    <pic:cNvPr descr="../figures/authentication-sequence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468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7.3 — Email and Password Authentication Sequence</w:t>
      </w:r>
    </w:p>
    <w:bookmarkEnd w:id="50"/>
    <w:p>
      <w:pPr>
        <w:pStyle w:val="BodyText"/>
      </w:pPr>
      <w:r>
        <w:t xml:space="preserve">Authorization is ownership-based. The authenticated user ID is passed into</w:t>
      </w:r>
      <w:r>
        <w:t xml:space="preserve"> </w:t>
      </w:r>
      <w:r>
        <w:t xml:space="preserve">services and repositories; public request bodies never choose an owner.</w:t>
      </w:r>
      <w:r>
        <w:t xml:space="preserve"> </w:t>
      </w:r>
      <w:r>
        <w:t xml:space="preserve">Deleted, missing, and foreign habit records intentionally share not-found</w:t>
      </w:r>
      <w:r>
        <w:t xml:space="preserve"> </w:t>
      </w:r>
      <w:r>
        <w:t xml:space="preserve">behavior.</w:t>
      </w:r>
    </w:p>
    <w:bookmarkStart w:id="54" w:name="figure-login"/>
    <w:p>
      <w:pPr>
        <w:pStyle w:val="CaptionedFigure"/>
      </w:pPr>
      <w:r>
        <w:drawing>
          <wp:inline>
            <wp:extent cx="5509768" cy="3443604"/>
            <wp:effectExtent b="0" l="0" r="0" t="0"/>
            <wp:docPr descr="Figure 7.1 — Trackly Sign-In Experience" title="" id="52" name="Picture"/>
            <a:graphic>
              <a:graphicData uri="http://schemas.openxmlformats.org/drawingml/2006/picture">
                <pic:pic>
                  <pic:nvPicPr>
                    <pic:cNvPr descr="../assets/screenshots/logi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768" cy="3443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— Trackly Sign-In Experience</w:t>
      </w:r>
    </w:p>
    <w:bookmarkEnd w:id="54"/>
    <w:p>
      <w:pPr>
        <w:pStyle w:val="BodyText"/>
      </w:pPr>
      <w:r>
        <w:t xml:space="preserve">Registration uses the same authentication-owned contract and creates a default</w:t>
      </w:r>
      <w:r>
        <w:t xml:space="preserve"> </w:t>
      </w:r>
      <w:r>
        <w:t xml:space="preserve">preference row for the new user.</w:t>
      </w:r>
    </w:p>
    <w:bookmarkStart w:id="58" w:name="figure-registration"/>
    <w:p>
      <w:pPr>
        <w:pStyle w:val="CaptionedFigure"/>
      </w:pPr>
      <w:r>
        <w:drawing>
          <wp:inline>
            <wp:extent cx="5509768" cy="3443604"/>
            <wp:effectExtent b="0" l="0" r="0" t="0"/>
            <wp:docPr descr="Figure 7.2 — Account Registration" title="" id="56" name="Picture"/>
            <a:graphic>
              <a:graphicData uri="http://schemas.openxmlformats.org/drawingml/2006/picture">
                <pic:pic>
                  <pic:nvPicPr>
                    <pic:cNvPr descr="../assets/screenshots/registra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768" cy="3443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7.2 — Account Registration</w:t>
      </w:r>
    </w:p>
    <w:bookmarkEnd w:id="58"/>
    <w:p>
      <w:r>
        <w:br w:type="page"/>
      </w:r>
    </w:p>
    <w:bookmarkEnd w:id="59"/>
    <w:bookmarkStart w:id="64" w:name="chapter-database-desig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Database Design</w:t>
      </w:r>
    </w:p>
    <w:p>
      <w:pPr>
        <w:pStyle w:val="FirstParagraph"/>
      </w:pPr>
      <w:r>
        <w:t xml:space="preserve">PostgreSQL stores authentication records, user preferences, categories, habits,</w:t>
      </w:r>
      <w:r>
        <w:t xml:space="preserve"> </w:t>
      </w:r>
      <w:r>
        <w:t xml:space="preserve">schedules, check-ins, tasks, goals, goal steps, reminders, notification</w:t>
      </w:r>
      <w:r>
        <w:t xml:space="preserve"> </w:t>
      </w:r>
      <w:r>
        <w:t xml:space="preserve">deliveries, and browser push subscriptions. Drizzle defines tables, relations,</w:t>
      </w:r>
      <w:r>
        <w:t xml:space="preserve"> </w:t>
      </w:r>
      <w:r>
        <w:t xml:space="preserve">constraints, indexes, and migration snapshots.</w:t>
      </w:r>
    </w:p>
    <w:bookmarkStart w:id="63" w:name="figure-database-erd"/>
    <w:p>
      <w:pPr>
        <w:pStyle w:val="CaptionedFigure"/>
      </w:pPr>
      <w:r>
        <w:drawing>
          <wp:inline>
            <wp:extent cx="3810000" cy="2540000"/>
            <wp:effectExtent b="0" l="0" r="0" t="0"/>
            <wp:docPr descr="Figure 8.1 — Trackly Entity Relationships" title="" id="61" name="Picture"/>
            <a:graphic>
              <a:graphicData uri="http://schemas.openxmlformats.org/drawingml/2006/picture">
                <pic:pic>
                  <pic:nvPicPr>
                    <pic:cNvPr descr="../figures/database-erd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8.1 — Trackly Entity Relationships</w:t>
      </w:r>
    </w:p>
    <w:bookmarkEnd w:id="63"/>
    <w:p>
      <w:pPr>
        <w:pStyle w:val="BodyText"/>
      </w:pPr>
      <w:r>
        <w:t xml:space="preserve">Tables and columns use snake_case. UUIDs identify Trackly domain entities;</w:t>
      </w:r>
      <w:r>
        <w:t xml:space="preserve"> </w:t>
      </w:r>
      <w:r>
        <w:t xml:space="preserve">Better Auth retains its own text identifiers. Logical days use PostgreSQL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while instants use timezone-aware timestamps. Soft-deletable resources</w:t>
      </w:r>
      <w:r>
        <w:t xml:space="preserve"> </w:t>
      </w:r>
      <w:r>
        <w:t xml:space="preserve">carry nullable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.</w:t>
      </w:r>
    </w:p>
    <w:p>
      <w:pPr>
        <w:pStyle w:val="BodyText"/>
      </w:pPr>
      <w:r>
        <w:t xml:space="preserve">Migrations are reviewed and forward-only.</w:t>
      </w:r>
      <w:r>
        <w:t xml:space="preserve"> </w:t>
      </w:r>
      <w:r>
        <w:rPr>
          <w:rStyle w:val="VerbatimChar"/>
        </w:rPr>
        <w:t xml:space="preserve">db:push</w:t>
      </w:r>
      <w:r>
        <w:t xml:space="preserve"> </w:t>
      </w:r>
      <w:r>
        <w:t xml:space="preserve">is limited to local</w:t>
      </w:r>
      <w:r>
        <w:t xml:space="preserve"> </w:t>
      </w:r>
      <w:r>
        <w:t xml:space="preserve">development. Transactions protect dependent mutation steps, occurrence claims,</w:t>
      </w:r>
      <w:r>
        <w:t xml:space="preserve"> </w:t>
      </w:r>
      <w:r>
        <w:t xml:space="preserve">and other atomic workflows.</w:t>
      </w:r>
    </w:p>
    <w:p>
      <w:r>
        <w:br w:type="page"/>
      </w:r>
    </w:p>
    <w:bookmarkEnd w:id="64"/>
    <w:bookmarkStart w:id="65" w:name="chapter-api-desig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API Design</w:t>
      </w:r>
    </w:p>
    <w:p>
      <w:pPr>
        <w:pStyle w:val="FirstParagraph"/>
      </w:pPr>
      <w:r>
        <w:t xml:space="preserve">Trackly application endpoints live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Better Auth owns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;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, and conditionally exposed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remain</w:t>
      </w:r>
      <w:r>
        <w:t xml:space="preserve"> </w:t>
      </w:r>
      <w:r>
        <w:t xml:space="preserve">unversioned infrastructure routes.</w:t>
      </w:r>
    </w:p>
    <w:p>
      <w:pPr>
        <w:pStyle w:val="BodyText"/>
      </w:pPr>
      <w:r>
        <w:t xml:space="preserve">Success responses use: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 use stable codes and JSON-safe optional details: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validation failed."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Zod validates params, query strings, bodies, and configuration. The centralized</w:t>
      </w:r>
      <w:r>
        <w:t xml:space="preserve"> </w:t>
      </w:r>
      <w:r>
        <w:t xml:space="preserve">handler maps Zod, Fastify validation, malformed JSON, application errors,</w:t>
      </w:r>
      <w:r>
        <w:t xml:space="preserve"> </w:t>
      </w:r>
      <w:r>
        <w:t xml:space="preserve">missing routes, and unexpected failures without exposing stack traces or raw</w:t>
      </w:r>
      <w:r>
        <w:t xml:space="preserve"> </w:t>
      </w:r>
      <w:r>
        <w:t xml:space="preserve">database errors.</w:t>
      </w:r>
    </w:p>
    <w:p>
      <w:r>
        <w:br w:type="page"/>
      </w:r>
    </w:p>
    <w:bookmarkEnd w:id="65"/>
    <w:bookmarkStart w:id="66" w:name="part-iii-features"/>
    <w:p>
      <w:pPr>
        <w:pStyle w:val="Heading1"/>
      </w:pPr>
      <w:r>
        <w:t xml:space="preserve">Part III — Features</w:t>
      </w:r>
    </w:p>
    <w:p>
      <w:r>
        <w:br w:type="page"/>
      </w:r>
    </w:p>
    <w:bookmarkEnd w:id="66"/>
    <w:bookmarkStart w:id="75" w:name="chapter-today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Today Dashboard</w:t>
      </w:r>
    </w:p>
    <w:p>
      <w:pPr>
        <w:pStyle w:val="FirstParagraph"/>
      </w:pPr>
      <w:r>
        <w:t xml:space="preserve">Today is the user’s local-calendar command center. It combines scheduled habits,</w:t>
      </w:r>
      <w:r>
        <w:t xml:space="preserve"> </w:t>
      </w:r>
      <w:r>
        <w:t xml:space="preserve">task group projections, active goals, and a daily summary. A URL date parameter</w:t>
      </w:r>
      <w:r>
        <w:t xml:space="preserve"> </w:t>
      </w:r>
      <w:r>
        <w:t xml:space="preserve">supports explicit date navigation without losing refresh or browser-history</w:t>
      </w:r>
      <w:r>
        <w:t xml:space="preserve"> </w:t>
      </w:r>
      <w:r>
        <w:t xml:space="preserve">state.</w:t>
      </w:r>
    </w:p>
    <w:p>
      <w:pPr>
        <w:pStyle w:val="BodyText"/>
      </w:pPr>
      <w:r>
        <w:t xml:space="preserve">Habit progress uses the source check-in count for the selected date. Tasks are</w:t>
      </w:r>
      <w:r>
        <w:t xml:space="preserve"> </w:t>
      </w:r>
      <w:r>
        <w:t xml:space="preserve">represented only through their existing query foundation; no mutation UI is</w:t>
      </w:r>
      <w:r>
        <w:t xml:space="preserve"> </w:t>
      </w:r>
      <w:r>
        <w:t xml:space="preserve">present. Goal cards show step summaries, while detailed goal progress is</w:t>
      </w:r>
      <w:r>
        <w:t xml:space="preserve"> </w:t>
      </w:r>
      <w:r>
        <w:t xml:space="preserve">derived elsewhere from habit check-ins.</w:t>
      </w:r>
    </w:p>
    <w:bookmarkStart w:id="70" w:name="figure-today-dashboard"/>
    <w:p>
      <w:pPr>
        <w:pStyle w:val="CaptionedFigure"/>
      </w:pPr>
      <w:r>
        <w:drawing>
          <wp:inline>
            <wp:extent cx="5760212" cy="6196228"/>
            <wp:effectExtent b="0" l="0" r="0" t="0"/>
            <wp:docPr descr="Figure 10.1 — Today Dashboard with Daily Progress" title="" id="68" name="Picture"/>
            <a:graphic>
              <a:graphicData uri="http://schemas.openxmlformats.org/drawingml/2006/picture">
                <pic:pic>
                  <pic:nvPicPr>
                    <pic:cNvPr descr="../assets/screenshots/today-dashboard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212" cy="619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10.1 — Today Dashboard with Daily Progress</w:t>
      </w:r>
    </w:p>
    <w:bookmarkEnd w:id="70"/>
    <w:p>
      <w:pPr>
        <w:pStyle w:val="BodyText"/>
      </w:pPr>
      <w:r>
        <w:t xml:space="preserve">On narrow screens, cards stack and mobile navigation remains fixed without</w:t>
      </w:r>
      <w:r>
        <w:t xml:space="preserve"> </w:t>
      </w:r>
      <w:r>
        <w:t xml:space="preserve">horizontal overflow.</w:t>
      </w:r>
    </w:p>
    <w:bookmarkStart w:id="74" w:name="figure-mobile-today"/>
    <w:p>
      <w:pPr>
        <w:pStyle w:val="CaptionedFigure"/>
      </w:pPr>
      <w:r>
        <w:drawing>
          <wp:inline>
            <wp:extent cx="2504440" cy="5419865"/>
            <wp:effectExtent b="0" l="0" r="0" t="0"/>
            <wp:docPr descr="Figure 10.2 — Today Dashboard on Mobile" title="" id="72" name="Picture"/>
            <a:graphic>
              <a:graphicData uri="http://schemas.openxmlformats.org/drawingml/2006/picture">
                <pic:pic>
                  <pic:nvPicPr>
                    <pic:cNvPr descr="../assets/screenshots/mobile-today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541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10.2 — Today Dashboard on Mobile</w:t>
      </w:r>
    </w:p>
    <w:bookmarkEnd w:id="74"/>
    <w:p>
      <w:r>
        <w:br w:type="page"/>
      </w:r>
    </w:p>
    <w:bookmarkEnd w:id="75"/>
    <w:bookmarkStart w:id="96" w:name="chapter-habit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Habits</w:t>
      </w:r>
    </w:p>
    <w:p>
      <w:pPr>
        <w:pStyle w:val="FirstParagraph"/>
      </w:pPr>
      <w:r>
        <w:t xml:space="preserve">Habits support collection/detail reads, create, partial update, archive,</w:t>
      </w:r>
      <w:r>
        <w:t xml:space="preserve"> </w:t>
      </w:r>
      <w:r>
        <w:t xml:space="preserve">restore, soft deletion, check-in, streak, category association, schedule, and</w:t>
      </w:r>
      <w:r>
        <w:t xml:space="preserve"> </w:t>
      </w:r>
      <w:r>
        <w:t xml:space="preserve">reminder management. Collection controls are browser-native GET forms so view,</w:t>
      </w:r>
      <w:r>
        <w:t xml:space="preserve"> </w:t>
      </w:r>
      <w:r>
        <w:t xml:space="preserve">date, search, sort, order, and page survive refresh and sharing.</w:t>
      </w:r>
    </w:p>
    <w:bookmarkStart w:id="79" w:name="figure-habits-list"/>
    <w:p>
      <w:pPr>
        <w:pStyle w:val="CaptionedFigure"/>
      </w:pPr>
      <w:r>
        <w:drawing>
          <wp:inline>
            <wp:extent cx="5760212" cy="4188154"/>
            <wp:effectExtent b="0" l="0" r="0" t="0"/>
            <wp:docPr descr="Figure 11.1 — Habit Collection and URL-Based Controls" title="" id="77" name="Picture"/>
            <a:graphic>
              <a:graphicData uri="http://schemas.openxmlformats.org/drawingml/2006/picture">
                <pic:pic>
                  <pic:nvPicPr>
                    <pic:cNvPr descr="../assets/screenshots/habits-lis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212" cy="418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11.1 — Habit Collection and URL-Based Controls</w:t>
      </w:r>
    </w:p>
    <w:bookmarkEnd w:id="79"/>
    <w:p>
      <w:pPr>
        <w:pStyle w:val="BodyText"/>
      </w:pPr>
      <w:r>
        <w:t xml:space="preserve">Create and edit forms use Zod-backed React Hook Form validation. Daily, weekly,</w:t>
      </w:r>
      <w:r>
        <w:t xml:space="preserve"> </w:t>
      </w:r>
      <w:r>
        <w:t xml:space="preserve">and custom schedules share backend schedule utilities.</w:t>
      </w:r>
    </w:p>
    <w:bookmarkStart w:id="83" w:name="figure-habit-create"/>
    <w:p>
      <w:pPr>
        <w:pStyle w:val="CaptionedFigure"/>
      </w:pPr>
      <w:r>
        <w:drawing>
          <wp:inline>
            <wp:extent cx="5509768" cy="4224155"/>
            <wp:effectExtent b="0" l="0" r="0" t="0"/>
            <wp:docPr descr="Figure 11.2 — Habit Creation Form" title="" id="81" name="Picture"/>
            <a:graphic>
              <a:graphicData uri="http://schemas.openxmlformats.org/drawingml/2006/picture">
                <pic:pic>
                  <pic:nvPicPr>
                    <pic:cNvPr descr="../assets/screenshots/habit-creat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768" cy="4224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11.2 — Habit Creation Form</w:t>
      </w:r>
    </w:p>
    <w:bookmarkEnd w:id="83"/>
    <w:p>
      <w:pPr>
        <w:pStyle w:val="BodyText"/>
      </w:pPr>
      <w:r>
        <w:t xml:space="preserve">Check-ins send the final absolute</w:t>
      </w:r>
      <w:r>
        <w:t xml:space="preserve"> </w:t>
      </w:r>
      <w:r>
        <w:rPr>
          <w:rStyle w:val="VerbatimChar"/>
        </w:rPr>
        <w:t xml:space="preserve">completedCount</w:t>
      </w:r>
      <w:r>
        <w:t xml:space="preserve">, not an increment command.</w:t>
      </w:r>
      <w:r>
        <w:t xml:space="preserve"> </w:t>
      </w:r>
      <w:r>
        <w:t xml:space="preserve">Target-one habits toggle between one and zero; multi-target habits increment or</w:t>
      </w:r>
      <w:r>
        <w:t xml:space="preserve"> </w:t>
      </w:r>
      <w:r>
        <w:t xml:space="preserve">decrement within bounds. Zero removes the stored row.</w:t>
      </w:r>
    </w:p>
    <w:bookmarkStart w:id="87" w:name="figure-habit-check-in"/>
    <w:p>
      <w:pPr>
        <w:pStyle w:val="CaptionedFigure"/>
      </w:pPr>
      <w:r>
        <w:drawing>
          <wp:inline>
            <wp:extent cx="6261100" cy="4952530"/>
            <wp:effectExtent b="0" l="0" r="0" t="0"/>
            <wp:docPr descr="Figure 11.5 — Absolute Habit Check-In Flow" title="" id="85" name="Picture"/>
            <a:graphic>
              <a:graphicData uri="http://schemas.openxmlformats.org/drawingml/2006/picture">
                <pic:pic>
                  <pic:nvPicPr>
                    <pic:cNvPr descr="../figures/habit-check-in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952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11.5 — Absolute Habit Check-In Flow</w:t>
      </w:r>
    </w:p>
    <w:bookmarkEnd w:id="87"/>
    <w:bookmarkStart w:id="91" w:name="figure-habit-detail"/>
    <w:p>
      <w:pPr>
        <w:pStyle w:val="CaptionedFigure"/>
      </w:pPr>
      <w:r>
        <w:drawing>
          <wp:inline>
            <wp:extent cx="5760212" cy="4228155"/>
            <wp:effectExtent b="0" l="0" r="0" t="0"/>
            <wp:docPr descr="Figure 11.3 — Habit Detail, Check-In, and Streak" title="" id="89" name="Picture"/>
            <a:graphic>
              <a:graphicData uri="http://schemas.openxmlformats.org/drawingml/2006/picture">
                <pic:pic>
                  <pic:nvPicPr>
                    <pic:cNvPr descr="../assets/screenshots/habit-detail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212" cy="422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11.3 — Habit Detail, Check-In, and Streak</w:t>
      </w:r>
    </w:p>
    <w:bookmarkEnd w:id="91"/>
    <w:bookmarkStart w:id="95" w:name="figure-mobile-habits"/>
    <w:p>
      <w:pPr>
        <w:pStyle w:val="CaptionedFigure"/>
      </w:pPr>
      <w:r>
        <w:drawing>
          <wp:inline>
            <wp:extent cx="2504440" cy="5419865"/>
            <wp:effectExtent b="0" l="0" r="0" t="0"/>
            <wp:docPr descr="Figure 11.4 — Habit Collection on Mobile" title="" id="93" name="Picture"/>
            <a:graphic>
              <a:graphicData uri="http://schemas.openxmlformats.org/drawingml/2006/picture">
                <pic:pic>
                  <pic:nvPicPr>
                    <pic:cNvPr descr="../assets/screenshots/mobile-habit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541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11.4 — Habit Collection on Mobile</w:t>
      </w:r>
    </w:p>
    <w:bookmarkEnd w:id="95"/>
    <w:p>
      <w:r>
        <w:br w:type="page"/>
      </w:r>
    </w:p>
    <w:bookmarkEnd w:id="96"/>
    <w:bookmarkStart w:id="101" w:name="chapter-goal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Goals</w:t>
      </w:r>
    </w:p>
    <w:p>
      <w:pPr>
        <w:pStyle w:val="FirstParagraph"/>
      </w:pPr>
      <w:r>
        <w:t xml:space="preserve">Goals define finite accumulation targets linked to owned habits. Progress is</w:t>
      </w:r>
      <w:r>
        <w:t xml:space="preserve"> </w:t>
      </w:r>
      <w:r>
        <w:t xml:space="preserve">calculated from habit check-ins inside the goal date range and capped only where</w:t>
      </w:r>
      <w:r>
        <w:t xml:space="preserve"> </w:t>
      </w:r>
      <w:r>
        <w:t xml:space="preserve">the consuming metric requires it. The dashboard groups active goals by</w:t>
      </w:r>
      <w:r>
        <w:t xml:space="preserve"> </w:t>
      </w:r>
      <w:r>
        <w:t xml:space="preserve">progress, deadline, target achievement, and over-target state.</w:t>
      </w:r>
    </w:p>
    <w:bookmarkStart w:id="100" w:name="figure-goals"/>
    <w:p>
      <w:pPr>
        <w:pStyle w:val="CaptionedFigure"/>
      </w:pPr>
      <w:r>
        <w:drawing>
          <wp:inline>
            <wp:extent cx="5760212" cy="4776175"/>
            <wp:effectExtent b="0" l="0" r="0" t="0"/>
            <wp:docPr descr="Figure 12.1 — Goal Dashboard and Derived Progress" title="" id="98" name="Picture"/>
            <a:graphic>
              <a:graphicData uri="http://schemas.openxmlformats.org/drawingml/2006/picture">
                <pic:pic>
                  <pic:nvPicPr>
                    <pic:cNvPr descr="../assets/screenshots/goal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212" cy="4776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12.1 — Goal Dashboard and Derived Progress</w:t>
      </w:r>
    </w:p>
    <w:bookmarkEnd w:id="100"/>
    <w:p>
      <w:pPr>
        <w:pStyle w:val="BodyText"/>
      </w:pPr>
      <w:r>
        <w:t xml:space="preserve">Create, update, and delete operations verify that the linked habit and optional</w:t>
      </w:r>
      <w:r>
        <w:t xml:space="preserve"> </w:t>
      </w:r>
      <w:r>
        <w:t xml:space="preserve">category belong to the authenticated user. Goal steps provide a separate</w:t>
      </w:r>
      <w:r>
        <w:t xml:space="preserve"> </w:t>
      </w:r>
      <w:r>
        <w:t xml:space="preserve">checklist projection used by Today.</w:t>
      </w:r>
    </w:p>
    <w:p>
      <w:r>
        <w:br w:type="page"/>
      </w:r>
    </w:p>
    <w:bookmarkEnd w:id="101"/>
    <w:bookmarkStart w:id="106" w:name="chapter-categories-preference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Categories and Preferences</w:t>
      </w:r>
    </w:p>
    <w:p>
      <w:pPr>
        <w:pStyle w:val="FirstParagraph"/>
      </w:pPr>
      <w:r>
        <w:t xml:space="preserve">Categories provide optional user-owned labels for habits and goals. The current</w:t>
      </w:r>
      <w:r>
        <w:t xml:space="preserve"> </w:t>
      </w:r>
      <w:r>
        <w:t xml:space="preserve">public API lists active categories; it does not expose category-management</w:t>
      </w:r>
      <w:r>
        <w:t xml:space="preserve"> </w:t>
      </w:r>
      <w:r>
        <w:t xml:space="preserve">commands.</w:t>
      </w:r>
    </w:p>
    <w:p>
      <w:pPr>
        <w:pStyle w:val="BodyText"/>
      </w:pPr>
      <w:r>
        <w:t xml:space="preserve">Preferences store timezone, week start, date format, time format, and theme.</w:t>
      </w:r>
      <w:r>
        <w:t xml:space="preserve"> </w:t>
      </w:r>
      <w:r>
        <w:t xml:space="preserve">Timezone is a domain input, while other preferences primarily affect</w:t>
      </w:r>
      <w:r>
        <w:t xml:space="preserve"> </w:t>
      </w:r>
      <w:r>
        <w:t xml:space="preserve">presentation. Missing preference rows resolve documented defaults, and invalid</w:t>
      </w:r>
      <w:r>
        <w:t xml:space="preserve"> </w:t>
      </w:r>
      <w:r>
        <w:t xml:space="preserve">legacy timezones safely fall back to UTC in dependent services.</w:t>
      </w:r>
    </w:p>
    <w:bookmarkStart w:id="105" w:name="figure-preferences"/>
    <w:p>
      <w:pPr>
        <w:pStyle w:val="CaptionedFigure"/>
      </w:pPr>
      <w:r>
        <w:drawing>
          <wp:inline>
            <wp:extent cx="5634990" cy="3521868"/>
            <wp:effectExtent b="0" l="0" r="0" t="0"/>
            <wp:docPr descr="Figure 13.1 — Preferences and Device Notification Settings" title="" id="103" name="Picture"/>
            <a:graphic>
              <a:graphicData uri="http://schemas.openxmlformats.org/drawingml/2006/picture">
                <pic:pic>
                  <pic:nvPicPr>
                    <pic:cNvPr descr="../assets/screenshots/preference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3521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13.1 — Preferences and Device Notification Settings</w:t>
      </w:r>
    </w:p>
    <w:bookmarkEnd w:id="105"/>
    <w:p>
      <w:r>
        <w:br w:type="page"/>
      </w:r>
    </w:p>
    <w:bookmarkEnd w:id="106"/>
    <w:bookmarkStart w:id="115" w:name="chapter-analytic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Analytics</w:t>
      </w:r>
    </w:p>
    <w:p>
      <w:pPr>
        <w:pStyle w:val="FirstParagraph"/>
      </w:pPr>
      <w:r>
        <w:t xml:space="preserve">Analytics is read-only and calculated on demand. It reuses a bounded repository</w:t>
      </w:r>
      <w:r>
        <w:t xml:space="preserve"> </w:t>
      </w:r>
      <w:r>
        <w:t xml:space="preserve">snapshot to serve summary, history, insights, heatmap, and rankings without six</w:t>
      </w:r>
      <w:r>
        <w:t xml:space="preserve"> </w:t>
      </w:r>
      <w:r>
        <w:t xml:space="preserve">overlapping database reads.</w:t>
      </w:r>
    </w:p>
    <w:p>
      <w:pPr>
        <w:pStyle w:val="BodyText"/>
      </w:pPr>
      <w:r>
        <w:t xml:space="preserve">Completion rate answers whether scheduled occurrences reached their target.</w:t>
      </w:r>
      <w:r>
        <w:t xml:space="preserve"> </w:t>
      </w:r>
      <w:r>
        <w:t xml:space="preserve">Progress rate answers how much capped target volume was completed. These values</w:t>
      </w:r>
      <w:r>
        <w:t xml:space="preserve"> </w:t>
      </w:r>
      <w:r>
        <w:t xml:space="preserve">intentionally differ for partial multi-target habits.</w:t>
      </w:r>
    </w:p>
    <w:bookmarkStart w:id="110" w:name="figure-analytics-overview"/>
    <w:p>
      <w:pPr>
        <w:pStyle w:val="CaptionedFigure"/>
      </w:pPr>
      <w:r>
        <w:drawing>
          <wp:inline>
            <wp:extent cx="5760212" cy="3600132"/>
            <wp:effectExtent b="0" l="0" r="0" t="0"/>
            <wp:docPr descr="Figure 14.1 — Analytics Summary and Daily Trends" title="" id="108" name="Picture"/>
            <a:graphic>
              <a:graphicData uri="http://schemas.openxmlformats.org/drawingml/2006/picture">
                <pic:pic>
                  <pic:nvPicPr>
                    <pic:cNvPr descr="../assets/screenshots/analytics-overview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212" cy="3600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14.1 — Analytics Summary and Daily Trends</w:t>
      </w:r>
    </w:p>
    <w:bookmarkEnd w:id="110"/>
    <w:p>
      <w:pPr>
        <w:pStyle w:val="BodyText"/>
      </w:pPr>
      <w:r>
        <w:t xml:space="preserve">History includes every local date in its range, including zero-activity dates.</w:t>
      </w:r>
      <w:r>
        <w:t xml:space="preserve"> </w:t>
      </w:r>
      <w:r>
        <w:t xml:space="preserve">Insights exclude inactive days where required, use deterministic tie-breaking,</w:t>
      </w:r>
      <w:r>
        <w:t xml:space="preserve"> </w:t>
      </w:r>
      <w:r>
        <w:t xml:space="preserve">and compare equal recent/previous windows. The heatmap preserves the calendar</w:t>
      </w:r>
      <w:r>
        <w:t xml:space="preserve"> </w:t>
      </w:r>
      <w:r>
        <w:t xml:space="preserve">shape while rankings remain user-scoped.</w:t>
      </w:r>
    </w:p>
    <w:bookmarkStart w:id="114" w:name="figure-analytics-heatmap"/>
    <w:p>
      <w:pPr>
        <w:pStyle w:val="CaptionedFigure"/>
      </w:pPr>
      <w:r>
        <w:drawing>
          <wp:inline>
            <wp:extent cx="5760212" cy="2340086"/>
            <wp:effectExtent b="0" l="0" r="0" t="0"/>
            <wp:docPr descr="Figure 14.2 — Contribution Heatmap" title="" id="112" name="Picture"/>
            <a:graphic>
              <a:graphicData uri="http://schemas.openxmlformats.org/drawingml/2006/picture">
                <pic:pic>
                  <pic:nvPicPr>
                    <pic:cNvPr descr="../assets/screenshots/analytics-heatmap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212" cy="2340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14.2 — Contribution Heatmap</w:t>
      </w:r>
    </w:p>
    <w:bookmarkEnd w:id="114"/>
    <w:p>
      <w:r>
        <w:br w:type="page"/>
      </w:r>
    </w:p>
    <w:bookmarkEnd w:id="115"/>
    <w:bookmarkStart w:id="124" w:name="chapter-reminders-web-push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Reminders and Web Push</w:t>
      </w:r>
    </w:p>
    <w:p>
      <w:pPr>
        <w:pStyle w:val="FirstParagraph"/>
      </w:pPr>
      <w:r>
        <w:t xml:space="preserve">Reminders attach local times to habits. Eligibility considers authenticated</w:t>
      </w:r>
      <w:r>
        <w:t xml:space="preserve"> </w:t>
      </w:r>
      <w:r>
        <w:t xml:space="preserve">ownership, habit lifecycle, schedule, completion, date, timezone, and the</w:t>
      </w:r>
      <w:r>
        <w:t xml:space="preserve"> </w:t>
      </w:r>
      <w:r>
        <w:t xml:space="preserve">configured reminder time. A separate scheduler evaluates due occurrences.</w:t>
      </w:r>
    </w:p>
    <w:bookmarkStart w:id="119" w:name="figure-reminders"/>
    <w:p>
      <w:pPr>
        <w:pStyle w:val="CaptionedFigure"/>
      </w:pPr>
      <w:r>
        <w:drawing>
          <wp:inline>
            <wp:extent cx="5509768" cy="1185005"/>
            <wp:effectExtent b="0" l="0" r="0" t="0"/>
            <wp:docPr descr="Figure 15.1 — Reminder Management on Habit Detail" title="" id="117" name="Picture"/>
            <a:graphic>
              <a:graphicData uri="http://schemas.openxmlformats.org/drawingml/2006/picture">
                <pic:pic>
                  <pic:nvPicPr>
                    <pic:cNvPr descr="../assets/screenshots/reminders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768" cy="1185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15.1 — Reminder Management on Habit Detail</w:t>
      </w:r>
    </w:p>
    <w:bookmarkEnd w:id="119"/>
    <w:bookmarkStart w:id="123" w:name="figure-reminder-delivery"/>
    <w:p>
      <w:pPr>
        <w:pStyle w:val="CaptionedFigure"/>
      </w:pPr>
      <w:r>
        <w:drawing>
          <wp:inline>
            <wp:extent cx="6261100" cy="5206410"/>
            <wp:effectExtent b="0" l="0" r="0" t="0"/>
            <wp:docPr descr="Figure 15.2 — Reminder Scheduling and Notification Delivery" title="" id="121" name="Picture"/>
            <a:graphic>
              <a:graphicData uri="http://schemas.openxmlformats.org/drawingml/2006/picture">
                <pic:pic>
                  <pic:nvPicPr>
                    <pic:cNvPr descr="../figures/reminder-delivery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20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15.2 — Reminder Scheduling and Notification Delivery</w:t>
      </w:r>
    </w:p>
    <w:bookmarkEnd w:id="123"/>
    <w:p>
      <w:pPr>
        <w:pStyle w:val="BodyText"/>
      </w:pPr>
      <w:r>
        <w:t xml:space="preserve">Browser subscriptions are device-specific. Permission is requested only after</w:t>
      </w:r>
      <w:r>
        <w:t xml:space="preserve"> </w:t>
      </w:r>
      <w:r>
        <w:t xml:space="preserve">an explicit action. The service worker displays minimal payloads and constructs</w:t>
      </w:r>
      <w:r>
        <w:t xml:space="preserve"> </w:t>
      </w:r>
      <w:r>
        <w:t xml:space="preserve">only known internal navigation targets. HTTP 404/410 invalidates expired</w:t>
      </w:r>
      <w:r>
        <w:t xml:space="preserve"> </w:t>
      </w:r>
      <w:r>
        <w:t xml:space="preserve">subscriptions; transient failures do not trigger automatic retry.</w:t>
      </w:r>
    </w:p>
    <w:p>
      <w:r>
        <w:br w:type="page"/>
      </w:r>
    </w:p>
    <w:bookmarkEnd w:id="124"/>
    <w:bookmarkStart w:id="125" w:name="part-iv-engineering"/>
    <w:p>
      <w:pPr>
        <w:pStyle w:val="Heading1"/>
      </w:pPr>
      <w:r>
        <w:t xml:space="preserve">Part IV — Engineering</w:t>
      </w:r>
    </w:p>
    <w:p>
      <w:r>
        <w:br w:type="page"/>
      </w:r>
    </w:p>
    <w:bookmarkEnd w:id="125"/>
    <w:bookmarkStart w:id="126" w:name="chapter-local-development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Local Development</w:t>
      </w:r>
    </w:p>
    <w:p>
      <w:pPr>
        <w:pStyle w:val="FirstParagraph"/>
      </w:pPr>
      <w:r>
        <w:t xml:space="preserve">Trackly uses pnpm workspaces. Node 24 matches the Docker build images, and pnpm</w:t>
      </w:r>
      <w:r>
        <w:t xml:space="preserve"> </w:t>
      </w:r>
      <w:r>
        <w:t xml:space="preserve">10.13.1 is declared by the root package.</w:t>
      </w:r>
    </w:p>
    <w:p>
      <w:pPr>
        <w:pStyle w:val="SourceCode"/>
      </w:pPr>
      <w:r>
        <w:rPr>
          <w:rStyle w:val="ExtensionTok"/>
        </w:rPr>
        <w:t xml:space="preserve">corepack</w:t>
      </w:r>
      <w:r>
        <w:rPr>
          <w:rStyle w:val="NormalTok"/>
        </w:rPr>
        <w:t xml:space="preserve"> enable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The frontend defaults to port 3000, backend to 4000, and PostgreSQL to 5432.</w:t>
      </w:r>
      <w:r>
        <w:t xml:space="preserve"> </w:t>
      </w:r>
      <w:r>
        <w:t xml:space="preserve">Host processes use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; containers use Compose service names.</w:t>
      </w:r>
    </w:p>
    <w:p>
      <w:r>
        <w:br w:type="page"/>
      </w:r>
    </w:p>
    <w:bookmarkEnd w:id="126"/>
    <w:bookmarkStart w:id="127" w:name="chapter-environment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Environment Configuration</w:t>
      </w:r>
    </w:p>
    <w:p>
      <w:pPr>
        <w:pStyle w:val="FirstParagraph"/>
      </w:pPr>
      <w:r>
        <w:t xml:space="preserve">Backend configuration is parsed and validated before startup. Production</w:t>
      </w:r>
      <w:r>
        <w:t xml:space="preserve"> </w:t>
      </w:r>
      <w:r>
        <w:t xml:space="preserve">requires HTTPS authentication/trusted origins, a non-placeholder Better Auth</w:t>
      </w:r>
      <w:r>
        <w:t xml:space="preserve"> </w:t>
      </w:r>
      <w:r>
        <w:t xml:space="preserve">secret, disabled diagnostics, and complete VAPID configuration when Web Push is</w:t>
      </w:r>
      <w:r>
        <w:t xml:space="preserve"> </w:t>
      </w:r>
      <w:r>
        <w:t xml:space="preserve">used.</w:t>
      </w:r>
    </w:p>
    <w:p>
      <w:pPr>
        <w:pStyle w:val="BodyText"/>
      </w:pPr>
      <w:r>
        <w:t xml:space="preserve">Frontend public configuration is limited to browser-safe URLs and the VAPID</w:t>
      </w:r>
      <w:r>
        <w:t xml:space="preserve"> </w:t>
      </w:r>
      <w:r>
        <w:t xml:space="preserve">public key.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variables are visible to clients and must never</w:t>
      </w:r>
      <w:r>
        <w:t xml:space="preserve"> </w:t>
      </w:r>
      <w:r>
        <w:t xml:space="preserve">contain database credentials, private VAPID material, or authentication</w:t>
      </w:r>
      <w:r>
        <w:t xml:space="preserve"> </w:t>
      </w:r>
      <w:r>
        <w:t xml:space="preserve">secrets.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Populate environment values through the deployment secret mechanism. Never</w:t>
      </w:r>
      <w:r>
        <w:t xml:space="preserve"> </w:t>
      </w:r>
      <w:r>
        <w:t xml:space="preserve">commit a populated</w:t>
      </w:r>
      <w:r>
        <w:t xml:space="preserve"> </w:t>
      </w:r>
      <w:r>
        <w:t xml:space="preserve">.env</w:t>
      </w:r>
      <w:r>
        <w:t xml:space="preserve"> </w:t>
      </w:r>
      <w:r>
        <w:t xml:space="preserve">file.</w:t>
      </w:r>
    </w:p>
    <w:p>
      <w:r>
        <w:br w:type="page"/>
      </w:r>
    </w:p>
    <w:bookmarkEnd w:id="127"/>
    <w:bookmarkStart w:id="128" w:name="chapter-testing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Testing</w:t>
      </w:r>
    </w:p>
    <w:p>
      <w:pPr>
        <w:pStyle w:val="FirstParagraph"/>
      </w:pPr>
      <w:r>
        <w:t xml:space="preserve">Vitest covers backend services/routes, frontend components/services, and</w:t>
      </w:r>
      <w:r>
        <w:t xml:space="preserve"> </w:t>
      </w:r>
      <w:r>
        <w:t xml:space="preserve">PostgreSQL integration behavior. Fastify injection avoids opening network ports</w:t>
      </w:r>
      <w:r>
        <w:t xml:space="preserve"> </w:t>
      </w:r>
      <w:r>
        <w:t xml:space="preserve">for HTTP contract tests. External Web Push and browser APIs are mocked.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format:check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typecheck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test:backend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test:frontend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test:database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config </w:t>
      </w:r>
      <w:r>
        <w:rPr>
          <w:rStyle w:val="AttributeTok"/>
        </w:rPr>
        <w:t xml:space="preserve">--quiet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The database suite remains separate from</w:t>
      </w:r>
      <w:r>
        <w:t xml:space="preserve"> </w:t>
      </w:r>
      <w:r>
        <w:rPr>
          <w:rStyle w:val="VerbatimChar"/>
        </w:rPr>
        <w:t xml:space="preserve">pnpm validate</w:t>
      </w:r>
      <w:r>
        <w:t xml:space="preserve"> </w:t>
      </w:r>
      <w:r>
        <w:t xml:space="preserve">because it requires</w:t>
      </w:r>
      <w:r>
        <w:t xml:space="preserve"> </w:t>
      </w:r>
      <w:r>
        <w:t xml:space="preserve">PostgreSQL. Publication screenshots use a dedicated Playwright workflow and</w:t>
      </w:r>
      <w:r>
        <w:t xml:space="preserve"> </w:t>
      </w:r>
      <w:r>
        <w:t xml:space="preserve">reserved documentation account.</w:t>
      </w:r>
    </w:p>
    <w:p>
      <w:r>
        <w:br w:type="page"/>
      </w:r>
    </w:p>
    <w:bookmarkEnd w:id="128"/>
    <w:bookmarkStart w:id="129" w:name="chapter-debugging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Debugging</w:t>
      </w:r>
    </w:p>
    <w:p>
      <w:pPr>
        <w:pStyle w:val="FirstParagraph"/>
      </w:pPr>
      <w:r>
        <w:t xml:space="preserve">Begin with the smallest boundary:</w:t>
      </w:r>
    </w:p>
    <w:p>
      <w:pPr>
        <w:pStyle w:val="Compact"/>
        <w:numPr>
          <w:ilvl w:val="0"/>
          <w:numId w:val="1004"/>
        </w:numPr>
      </w:pPr>
      <w:r>
        <w:t xml:space="preserve">Capture the failing command, route, response status, and request ID.</w:t>
      </w:r>
    </w:p>
    <w:p>
      <w:pPr>
        <w:pStyle w:val="Compact"/>
        <w:numPr>
          <w:ilvl w:val="0"/>
          <w:numId w:val="1004"/>
        </w:numPr>
      </w:pPr>
      <w:r>
        <w:t xml:space="preserve">Compare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Inspect the relevant frontend, backend, PostgreSQL, or scheduler logs.</w:t>
      </w:r>
    </w:p>
    <w:p>
      <w:pPr>
        <w:pStyle w:val="Compact"/>
        <w:numPr>
          <w:ilvl w:val="0"/>
          <w:numId w:val="1004"/>
        </w:numPr>
      </w:pPr>
      <w:r>
        <w:t xml:space="preserve">Verify host-versus-container URLs.</w:t>
      </w:r>
    </w:p>
    <w:p>
      <w:pPr>
        <w:pStyle w:val="Compact"/>
        <w:numPr>
          <w:ilvl w:val="0"/>
          <w:numId w:val="1004"/>
        </w:numPr>
      </w:pPr>
      <w:r>
        <w:t xml:space="preserve">Reproduce with a focused test.</w:t>
      </w:r>
    </w:p>
    <w:p>
      <w:pPr>
        <w:pStyle w:val="FirstParagraph"/>
      </w:pPr>
      <w:r>
        <w:t xml:space="preserve">Public errors remain generic. Server logs may contain stack traces for</w:t>
      </w:r>
      <w:r>
        <w:t xml:space="preserve"> </w:t>
      </w:r>
      <w:r>
        <w:t xml:space="preserve">unexpected failures, but redaction prevents credential and token fields from</w:t>
      </w:r>
      <w:r>
        <w:t xml:space="preserve"> </w:t>
      </w:r>
      <w:r>
        <w:t xml:space="preserve">being logged.</w:t>
      </w:r>
    </w:p>
    <w:p>
      <w:r>
        <w:br w:type="page"/>
      </w:r>
    </w:p>
    <w:bookmarkEnd w:id="129"/>
    <w:bookmarkStart w:id="130" w:name="chapter-docker-migrations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Docker and Database Migrations</w:t>
      </w:r>
    </w:p>
    <w:p>
      <w:pPr>
        <w:pStyle w:val="FirstParagraph"/>
      </w:pPr>
      <w:r>
        <w:t xml:space="preserve">Development Compose starts PostgreSQL, waits for its health check, starts the</w:t>
      </w:r>
      <w:r>
        <w:t xml:space="preserve"> </w:t>
      </w:r>
      <w:r>
        <w:t xml:space="preserve">backend, waits for backend readiness, and then starts the frontend.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db:generate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db:migrate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db:seed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test:database</w:t>
      </w:r>
    </w:p>
    <w:p>
      <w:pPr>
        <w:pStyle w:val="FirstParagraph"/>
      </w:pPr>
      <w:r>
        <w:t xml:space="preserve">Schema changes require reviewed migrations. The production backend image is not</w:t>
      </w:r>
      <w:r>
        <w:t xml:space="preserve"> </w:t>
      </w:r>
      <w:r>
        <w:t xml:space="preserve">a self-contained migration image because it does not copy the SQL migration</w:t>
      </w:r>
      <w:r>
        <w:t xml:space="preserve"> </w:t>
      </w:r>
      <w:r>
        <w:t xml:space="preserve">directory; a deployment must supply a release workspace or purpose-built</w:t>
      </w:r>
      <w:r>
        <w:t xml:space="preserve"> </w:t>
      </w:r>
      <w:r>
        <w:t xml:space="preserve">migration job.</w:t>
      </w:r>
    </w:p>
    <w:p>
      <w:r>
        <w:br w:type="page"/>
      </w:r>
    </w:p>
    <w:bookmarkEnd w:id="130"/>
    <w:bookmarkStart w:id="131" w:name="part-v-deployment-and-operations"/>
    <w:p>
      <w:pPr>
        <w:pStyle w:val="Heading1"/>
      </w:pPr>
      <w:r>
        <w:t xml:space="preserve">Part V — Deployment and Operations</w:t>
      </w:r>
    </w:p>
    <w:p>
      <w:r>
        <w:br w:type="page"/>
      </w:r>
    </w:p>
    <w:bookmarkEnd w:id="131"/>
    <w:bookmarkStart w:id="140" w:name="chapter-production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Production Deployment</w:t>
      </w:r>
    </w:p>
    <w:p>
      <w:pPr>
        <w:pStyle w:val="FirstParagraph"/>
      </w:pPr>
      <w:r>
        <w:t xml:space="preserve">The repository supplies multi-stage frontend and backend production Docker</w:t>
      </w:r>
      <w:r>
        <w:t xml:space="preserve"> </w:t>
      </w:r>
      <w:r>
        <w:t xml:space="preserve">targets. Both run as non-root users. The frontend uses Next.js standalone</w:t>
      </w:r>
      <w:r>
        <w:t xml:space="preserve"> </w:t>
      </w:r>
      <w:r>
        <w:t xml:space="preserve">output; the backend runs compiled JavaScript. PostgreSQL and the scheduler are</w:t>
      </w:r>
      <w:r>
        <w:t xml:space="preserve"> </w:t>
      </w:r>
      <w:r>
        <w:t xml:space="preserve">separate runtime responsibilities.</w:t>
      </w:r>
    </w:p>
    <w:bookmarkStart w:id="135" w:name="figure-deployment-topology"/>
    <w:p>
      <w:pPr>
        <w:pStyle w:val="CaptionedFigure"/>
      </w:pPr>
      <w:r>
        <w:drawing>
          <wp:inline>
            <wp:extent cx="3810000" cy="2540000"/>
            <wp:effectExtent b="0" l="0" r="0" t="0"/>
            <wp:docPr descr="Figure 21.1 — Supported Deployment Topology and External Boundaries" title="" id="133" name="Picture"/>
            <a:graphic>
              <a:graphicData uri="http://schemas.openxmlformats.org/drawingml/2006/picture">
                <pic:pic>
                  <pic:nvPicPr>
                    <pic:cNvPr descr="../figures/deployment-topology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21.1 — Supported Deployment Topology and External Boundaries</w:t>
      </w:r>
    </w:p>
    <w:bookmarkEnd w:id="135"/>
    <w:bookmarkStart w:id="139" w:name="figure-container-startup"/>
    <w:p>
      <w:pPr>
        <w:pStyle w:val="CaptionedFigure"/>
      </w:pPr>
      <w:r>
        <w:drawing>
          <wp:inline>
            <wp:extent cx="3810000" cy="2540000"/>
            <wp:effectExtent b="0" l="0" r="0" t="0"/>
            <wp:docPr descr="Figure 21.2 — Container Startup Dependencies" title="" id="137" name="Picture"/>
            <a:graphic>
              <a:graphicData uri="http://schemas.openxmlformats.org/drawingml/2006/picture">
                <pic:pic>
                  <pic:nvPicPr>
                    <pic:cNvPr descr="../figures/container-startup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21.2 — Container Startup Dependencies</w:t>
      </w:r>
    </w:p>
    <w:bookmarkEnd w:id="139"/>
    <w:p>
      <w:r>
        <w:br w:type="page"/>
      </w:r>
    </w:p>
    <w:bookmarkEnd w:id="140"/>
    <w:bookmarkStart w:id="141" w:name="chapter-reverse-proxy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Reverse Proxy and Networking</w:t>
      </w:r>
    </w:p>
    <w:p>
      <w:pPr>
        <w:pStyle w:val="FirstParagraph"/>
      </w:pPr>
      <w:r>
        <w:t xml:space="preserve">No reverse proxy configuration is checked in. Production must supply TLS</w:t>
      </w:r>
      <w:r>
        <w:t xml:space="preserve"> </w:t>
      </w:r>
      <w:r>
        <w:t xml:space="preserve">termination, preserve the host/protocol needed by Better Auth, route frontend</w:t>
      </w:r>
      <w:r>
        <w:t xml:space="preserve"> </w:t>
      </w:r>
      <w:r>
        <w:t xml:space="preserve">and backend paths correctly, forward validated request IDs, and align CORS with</w:t>
      </w:r>
      <w:r>
        <w:t xml:space="preserve"> </w:t>
      </w:r>
      <w:r>
        <w:t xml:space="preserve">trusted origins.</w:t>
      </w:r>
    </w:p>
    <w:p>
      <w:pPr>
        <w:pStyle w:val="BodyText"/>
      </w:pPr>
      <w:r>
        <w:t xml:space="preserve">Static Next.js assets may use immutable caching where filenames are content</w:t>
      </w:r>
      <w:r>
        <w:t xml:space="preserve"> </w:t>
      </w:r>
      <w:r>
        <w:t xml:space="preserve">addressed. Authenticated HTML and API responses must not enter shared caches.</w:t>
      </w:r>
      <w:r>
        <w:t xml:space="preserve"> </w:t>
      </w:r>
      <w:r>
        <w:rPr>
          <w:rStyle w:val="VerbatimChar"/>
        </w:rPr>
        <w:t xml:space="preserve">TRUST_PROXY</w:t>
      </w:r>
      <w:r>
        <w:t xml:space="preserve"> </w:t>
      </w:r>
      <w:r>
        <w:t xml:space="preserve">should be enabled only behind a known proxy topology.</w:t>
      </w:r>
    </w:p>
    <w:p>
      <w:r>
        <w:br w:type="page"/>
      </w:r>
    </w:p>
    <w:bookmarkEnd w:id="141"/>
    <w:bookmarkStart w:id="142" w:name="chapter-monitoring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Monitoring and Logging</w:t>
      </w:r>
    </w:p>
    <w:p>
      <w:pPr>
        <w:pStyle w:val="FirstParagraph"/>
      </w:pPr>
      <w:r>
        <w:t xml:space="preserve">Pino emits readable development logs and machine-readable production JSON.</w:t>
      </w:r>
      <w:r>
        <w:t xml:space="preserve"> </w:t>
      </w:r>
      <w:r>
        <w:t xml:space="preserve">Request completion records include timestamp, level, request ID, method, path,</w:t>
      </w:r>
      <w:r>
        <w:t xml:space="preserve"> </w:t>
      </w:r>
      <w:r>
        <w:t xml:space="preserve">status, duration, and authenticated user ID when available. Audit events record</w:t>
      </w:r>
      <w:r>
        <w:t xml:space="preserve"> </w:t>
      </w:r>
      <w:r>
        <w:t xml:space="preserve">actor, action, resource, outcome, and request ID.</w:t>
      </w:r>
    </w:p>
    <w:p>
      <w:pPr>
        <w:pStyle w:val="BodyText"/>
      </w:pPr>
      <w:r>
        <w:t xml:space="preserve">Trackly provides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for liveness and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for PostgreSQL readiness.</w:t>
      </w:r>
      <w:r>
        <w:t xml:space="preserve"> </w:t>
      </w:r>
      <w:r>
        <w:t xml:space="preserve">It does not ship an external log platform, metrics, tracing, dashboards, or</w:t>
      </w:r>
      <w:r>
        <w:t xml:space="preserve"> </w:t>
      </w:r>
      <w:r>
        <w:t xml:space="preserve">alerts. Operators must retain logs and alert on readiness failures, error</w:t>
      </w:r>
      <w:r>
        <w:t xml:space="preserve"> </w:t>
      </w:r>
      <w:r>
        <w:t xml:space="preserve">rates, scheduler failures, and notification delivery outcomes.</w:t>
      </w:r>
    </w:p>
    <w:p>
      <w:r>
        <w:br w:type="page"/>
      </w:r>
    </w:p>
    <w:bookmarkEnd w:id="142"/>
    <w:bookmarkStart w:id="143" w:name="chapter-backup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Backup and Recovery</w:t>
      </w:r>
    </w:p>
    <w:p>
      <w:pPr>
        <w:pStyle w:val="FirstParagraph"/>
      </w:pPr>
      <w:r>
        <w:t xml:space="preserve">The development</w:t>
      </w:r>
      <w:r>
        <w:t xml:space="preserve"> </w:t>
      </w:r>
      <w:r>
        <w:rPr>
          <w:rStyle w:val="VerbatimChar"/>
        </w:rPr>
        <w:t xml:space="preserve">postgres_data</w:t>
      </w:r>
      <w:r>
        <w:t xml:space="preserve"> </w:t>
      </w:r>
      <w:r>
        <w:t xml:space="preserve">volume provides persistence, not backup. The</w:t>
      </w:r>
      <w:r>
        <w:t xml:space="preserve"> </w:t>
      </w:r>
      <w:r>
        <w:t xml:space="preserve">repository does not implement scheduled backups, retention, encryption,</w:t>
      </w:r>
      <w:r>
        <w:t xml:space="preserve"> </w:t>
      </w:r>
      <w:r>
        <w:t xml:space="preserve">point-in-time recovery, or restore automation.</w:t>
      </w:r>
    </w:p>
    <w:p>
      <w:pPr>
        <w:pStyle w:val="BodyText"/>
      </w:pPr>
      <w:r>
        <w:t xml:space="preserve">Production requires an external PostgreSQL backup plan with tested restore</w:t>
      </w:r>
      <w:r>
        <w:t xml:space="preserve"> </w:t>
      </w:r>
      <w:r>
        <w:t xml:space="preserve">procedures. Recovery must restore schema and data coherently, apply only</w:t>
      </w:r>
      <w:r>
        <w:t xml:space="preserve"> </w:t>
      </w:r>
      <w:r>
        <w:t xml:space="preserve">reviewed forward migrations, and verify authentication, ownership, check-ins,</w:t>
      </w:r>
      <w:r>
        <w:t xml:space="preserve"> </w:t>
      </w:r>
      <w:r>
        <w:t xml:space="preserve">goals, reminders, and notification records.</w:t>
      </w:r>
    </w:p>
    <w:p>
      <w:r>
        <w:br w:type="page"/>
      </w:r>
    </w:p>
    <w:bookmarkEnd w:id="143"/>
    <w:bookmarkStart w:id="144" w:name="chapter-security-readiness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Security and Operational Readiness</w:t>
      </w:r>
    </w:p>
    <w:p>
      <w:pPr>
        <w:pStyle w:val="FirstParagraph"/>
      </w:pPr>
      <w:r>
        <w:t xml:space="preserve">Implemented controls include Helmet security headers and CSP, CORS allowlists,</w:t>
      </w:r>
      <w:r>
        <w:t xml:space="preserve"> </w:t>
      </w:r>
      <w:r>
        <w:t xml:space="preserve">HttpOnly Better Auth cookies, structured redaction, Zod validation,</w:t>
      </w:r>
      <w:r>
        <w:t xml:space="preserve"> </w:t>
      </w:r>
      <w:r>
        <w:t xml:space="preserve">environment hardening, request IDs, process-local rate limiting, authenticated</w:t>
      </w:r>
      <w:r>
        <w:t xml:space="preserve"> </w:t>
      </w:r>
      <w:r>
        <w:t xml:space="preserve">ownership, safe internal notification routing, and non-root production images.</w:t>
      </w:r>
    </w:p>
    <w:p>
      <w:pPr>
        <w:pStyle w:val="BodyText"/>
      </w:pPr>
      <w:r>
        <w:t xml:space="preserve">Operational Limitations</w:t>
      </w:r>
    </w:p>
    <w:p>
      <w:pPr>
        <w:pStyle w:val="BodyText"/>
      </w:pPr>
      <w:r>
        <w:t xml:space="preserve">Trackly does not include TLS/reverse proxy configuration, production</w:t>
      </w:r>
      <w:r>
        <w:t xml:space="preserve"> </w:t>
      </w:r>
      <w:r>
        <w:t xml:space="preserve">orchestration, distributed rate limits, scheduler leadership, automated</w:t>
      </w:r>
      <w:r>
        <w:t xml:space="preserve"> </w:t>
      </w:r>
      <w:r>
        <w:t xml:space="preserve">backups, external monitoring, CI/CD, or rollback automation.</w:t>
      </w:r>
    </w:p>
    <w:p>
      <w:pPr>
        <w:pStyle w:val="BodyText"/>
      </w:pPr>
      <w:r>
        <w:t xml:space="preserve">A production review must define secret rotation, proxy trust, cookie behavior,</w:t>
      </w:r>
      <w:r>
        <w:t xml:space="preserve"> </w:t>
      </w:r>
      <w:r>
        <w:t xml:space="preserve">database recovery objectives, migration ownership, one scheduler leader,</w:t>
      </w:r>
      <w:r>
        <w:t xml:space="preserve"> </w:t>
      </w:r>
      <w:r>
        <w:t xml:space="preserve">central log retention, alerts, and capacity budgets.</w:t>
      </w:r>
    </w:p>
    <w:p>
      <w:r>
        <w:br w:type="page"/>
      </w:r>
    </w:p>
    <w:bookmarkEnd w:id="144"/>
    <w:bookmarkStart w:id="145" w:name="part-vi-reference"/>
    <w:p>
      <w:pPr>
        <w:pStyle w:val="Heading1"/>
      </w:pPr>
      <w:r>
        <w:t xml:space="preserve">Part VI — Reference</w:t>
      </w:r>
    </w:p>
    <w:p>
      <w:r>
        <w:br w:type="page"/>
      </w:r>
    </w:p>
    <w:bookmarkEnd w:id="145"/>
    <w:bookmarkStart w:id="146" w:name="chapter-api-reference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API Reference</w:t>
      </w:r>
    </w:p>
    <w:p>
      <w:pPr>
        <w:pStyle w:val="FirstParagraph"/>
      </w:pPr>
      <w:r>
        <w:t xml:space="preserve">The implemented API groups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3573"/>
        <w:gridCol w:w="18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Health/readiness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</w:t>
            </w:r>
            <w:r>
              <w:t xml:space="preserve"> </w:t>
            </w:r>
            <w:r>
              <w:t xml:space="preserve">when enabled</w:t>
            </w:r>
          </w:p>
        </w:tc>
        <w:tc>
          <w:tcPr/>
          <w:p>
            <w:pPr>
              <w:pStyle w:val="Compact"/>
            </w:pPr>
            <w:r>
              <w:t xml:space="preserve">Public when exposed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/api/auth/*</w:t>
            </w:r>
          </w:p>
        </w:tc>
        <w:tc>
          <w:tcPr/>
          <w:p>
            <w:pPr>
              <w:pStyle w:val="Compact"/>
            </w:pPr>
            <w:r>
              <w:t xml:space="preserve">Framework-specific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/api/v1/today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/api/v1/categories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Habits and streak/check-in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/api/v1/habits/*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/api/v1/goals/*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/api/v1/preferences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/api/v1/habits/:habitId/reminders/*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/api/v1/push-subscriptions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/api/v1/analytics/*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pPr>
        <w:pStyle w:val="BodyText"/>
      </w:pPr>
      <w:r>
        <w:t xml:space="preserve">List endpoints document their own pagination, filtering, and deterministic</w:t>
      </w:r>
      <w:r>
        <w:t xml:space="preserve"> </w:t>
      </w:r>
      <w:r>
        <w:t xml:space="preserve">sorting. Rate-limited routes return the standard 429 envelope. Swagger is</w:t>
      </w:r>
      <w:r>
        <w:t xml:space="preserve"> </w:t>
      </w:r>
      <w:r>
        <w:t xml:space="preserve">generated from registered Fastify schemas and may be disabled in production.</w:t>
      </w:r>
    </w:p>
    <w:p>
      <w:pPr>
        <w:pStyle w:val="BodyText"/>
      </w:pPr>
      <w:r>
        <w:t xml:space="preserve">For every request field, response model, error, and service mapping, use the</w:t>
      </w:r>
      <w:r>
        <w:t xml:space="preserve"> </w:t>
      </w:r>
      <w:hyperlink w:anchor="chapter-api-reference">
        <w:r>
          <w:rPr>
            <w:rStyle w:val="Hyperlink"/>
          </w:rPr>
          <w:t xml:space="preserve">canonical API reference</w:t>
        </w:r>
      </w:hyperlink>
      <w:r>
        <w:t xml:space="preserve">.</w:t>
      </w:r>
    </w:p>
    <w:p>
      <w:r>
        <w:br w:type="page"/>
      </w:r>
    </w:p>
    <w:bookmarkEnd w:id="146"/>
    <w:bookmarkStart w:id="147" w:name="chapter-database-reference"/>
    <w:p>
      <w:pPr>
        <w:pStyle w:val="Heading1"/>
      </w:pPr>
      <w:r>
        <w:rPr>
          <w:rStyle w:val="SectionNumber"/>
        </w:rPr>
        <w:t xml:space="preserve">27</w:t>
      </w:r>
      <w:r>
        <w:tab/>
      </w:r>
      <w:r>
        <w:t xml:space="preserve">Database Reference</w:t>
      </w:r>
    </w:p>
    <w:p>
      <w:pPr>
        <w:pStyle w:val="FirstParagraph"/>
      </w:pPr>
      <w:r>
        <w:t xml:space="preserve">The schema contains fourteen implemented tables:</w:t>
      </w:r>
    </w:p>
    <w:p>
      <w:pPr>
        <w:pStyle w:val="BodyText"/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habits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habit_schedules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habit_check_ins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notification_deliveries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push_subscriptions</w:t>
      </w:r>
      <w:r>
        <w:t xml:space="preserve">.</w:t>
      </w:r>
    </w:p>
    <w:p>
      <w:pPr>
        <w:pStyle w:val="BodyText"/>
      </w:pPr>
      <w:r>
        <w:t xml:space="preserve">Better Auth owns the first four authentication tables. Domain tables use</w:t>
      </w:r>
      <w:r>
        <w:t xml:space="preserve"> </w:t>
      </w:r>
      <w:r>
        <w:t xml:space="preserve">database constraints, ownership indexes, and explicit cascade/set-null</w:t>
      </w:r>
      <w:r>
        <w:t xml:space="preserve"> </w:t>
      </w:r>
      <w:r>
        <w:t xml:space="preserve">behavior. The task table exists, but the product workflow remains incomplete.</w:t>
      </w:r>
    </w:p>
    <w:p>
      <w:pPr>
        <w:pStyle w:val="BodyText"/>
      </w:pPr>
      <w:r>
        <w:t xml:space="preserve">The</w:t>
      </w:r>
      <w:r>
        <w:t xml:space="preserve"> </w:t>
      </w:r>
      <w:hyperlink w:anchor="chapter-database-reference">
        <w:r>
          <w:rPr>
            <w:rStyle w:val="Hyperlink"/>
          </w:rPr>
          <w:t xml:space="preserve">canonical database reference</w:t>
        </w:r>
      </w:hyperlink>
      <w:r>
        <w:t xml:space="preserve"> </w:t>
      </w:r>
      <w:r>
        <w:t xml:space="preserve">lists</w:t>
      </w:r>
      <w:r>
        <w:t xml:space="preserve"> </w:t>
      </w:r>
      <w:r>
        <w:t xml:space="preserve">every column, type, default, foreign key, index, unique constraint, check</w:t>
      </w:r>
      <w:r>
        <w:t xml:space="preserve"> </w:t>
      </w:r>
      <w:r>
        <w:t xml:space="preserve">constraint, enumeration, relation, and lifecycle rule.</w:t>
      </w:r>
    </w:p>
    <w:p>
      <w:r>
        <w:br w:type="page"/>
      </w:r>
    </w:p>
    <w:bookmarkEnd w:id="147"/>
    <w:bookmarkStart w:id="148" w:name="chapter-troubleshooting"/>
    <w:p>
      <w:pPr>
        <w:pStyle w:val="Heading1"/>
      </w:pPr>
      <w:r>
        <w:rPr>
          <w:rStyle w:val="SectionNumber"/>
        </w:rPr>
        <w:t xml:space="preserve">28</w:t>
      </w:r>
      <w:r>
        <w:tab/>
      </w: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57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First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does not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config</w:t>
            </w:r>
            <w:r>
              <w:t xml:space="preserve">, service status, port collisions,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 but not ready</w:t>
            </w:r>
          </w:p>
        </w:tc>
        <w:tc>
          <w:tcPr/>
          <w:p>
            <w:pPr>
              <w:pStyle w:val="Compact"/>
            </w:pPr>
            <w:r>
              <w:t xml:space="preserve">Database URL, PostgreSQL health, network, credentials,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loop</w:t>
            </w:r>
          </w:p>
        </w:tc>
        <w:tc>
          <w:tcPr/>
          <w:p>
            <w:pPr>
              <w:pStyle w:val="Compact"/>
            </w:pPr>
            <w:r>
              <w:t xml:space="preserve">Auth URLs, trusted origins, CORS, cookies,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cannot call API</w:t>
            </w:r>
          </w:p>
        </w:tc>
        <w:tc>
          <w:tcPr/>
          <w:p>
            <w:pPr>
              <w:pStyle w:val="Compact"/>
            </w:pPr>
            <w:r>
              <w:t xml:space="preserve">Browser URL versus internal server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429</w:t>
            </w:r>
          </w:p>
        </w:tc>
        <w:tc>
          <w:tcPr/>
          <w:p>
            <w:pPr>
              <w:pStyle w:val="Compact"/>
            </w:pPr>
            <w:r>
              <w:t xml:space="preserve">Configured window, duplicate submissions, trusted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does not deliver</w:t>
            </w:r>
          </w:p>
        </w:tc>
        <w:tc>
          <w:tcPr/>
          <w:p>
            <w:pPr>
              <w:pStyle w:val="Compact"/>
            </w:pPr>
            <w:r>
              <w:t xml:space="preserve">Separate process, database, eligibility, provider, singleton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Push unavailable</w:t>
            </w:r>
          </w:p>
        </w:tc>
        <w:tc>
          <w:tcPr/>
          <w:p>
            <w:pPr>
              <w:pStyle w:val="Compact"/>
            </w:pPr>
            <w:r>
              <w:t xml:space="preserve">HTTPS/localhost, public/private VAPID config, browser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Build/test failure</w:t>
            </w:r>
          </w:p>
        </w:tc>
        <w:tc>
          <w:tcPr/>
          <w:p>
            <w:pPr>
              <w:pStyle w:val="Compact"/>
            </w:pPr>
            <w:r>
              <w:t xml:space="preserve">Run formatting, lint, type, package tests, and build independently</w:t>
            </w:r>
          </w:p>
        </w:tc>
      </w:tr>
    </w:tbl>
    <w:p>
      <w:pPr>
        <w:pStyle w:val="BodyText"/>
      </w:pPr>
      <w:r>
        <w:t xml:space="preserve">Do not expose secrets in incident reports. Preserve timestamps, deployment</w:t>
      </w:r>
      <w:r>
        <w:t xml:space="preserve"> </w:t>
      </w:r>
      <w:r>
        <w:t xml:space="preserve">version, route, and sanitized request IDs. Full procedures are in</w:t>
      </w:r>
      <w:r>
        <w:t xml:space="preserve"> </w:t>
      </w:r>
      <w:hyperlink w:anchor="chapter-troubleshooting">
        <w:r>
          <w:rPr>
            <w:rStyle w:val="Hyperlink"/>
          </w:rPr>
          <w:t xml:space="preserve">Troubleshooting</w:t>
        </w:r>
      </w:hyperlink>
      <w:r>
        <w:t xml:space="preserve">.</w:t>
      </w:r>
    </w:p>
    <w:p>
      <w:r>
        <w:br w:type="page"/>
      </w:r>
    </w:p>
    <w:bookmarkEnd w:id="148"/>
    <w:bookmarkStart w:id="155" w:name="chapter-faq"/>
    <w:p>
      <w:pPr>
        <w:pStyle w:val="Heading1"/>
      </w:pPr>
      <w:r>
        <w:rPr>
          <w:rStyle w:val="SectionNumber"/>
        </w:rPr>
        <w:t xml:space="preserve">29</w:t>
      </w:r>
      <w:r>
        <w:tab/>
      </w:r>
      <w:r>
        <w:t xml:space="preserve">Frequently Asked Questions</w:t>
      </w:r>
    </w:p>
    <w:bookmarkStart w:id="149" w:name="is-analytics-persisted"/>
    <w:p>
      <w:pPr>
        <w:pStyle w:val="Heading2"/>
      </w:pPr>
      <w:r>
        <w:rPr>
          <w:rStyle w:val="SectionNumber"/>
        </w:rPr>
        <w:t xml:space="preserve">29.1</w:t>
      </w:r>
      <w:r>
        <w:tab/>
      </w:r>
      <w:r>
        <w:t xml:space="preserve">Is analytics persisted?</w:t>
      </w:r>
    </w:p>
    <w:p>
      <w:pPr>
        <w:pStyle w:val="FirstParagraph"/>
      </w:pPr>
      <w:r>
        <w:t xml:space="preserve">No. Analytics, streaks, percentages, and goal progress are derived.</w:t>
      </w:r>
    </w:p>
    <w:bookmarkEnd w:id="149"/>
    <w:bookmarkStart w:id="150" w:name="does-the-backend-start-the-scheduler"/>
    <w:p>
      <w:pPr>
        <w:pStyle w:val="Heading2"/>
      </w:pPr>
      <w:r>
        <w:rPr>
          <w:rStyle w:val="SectionNumber"/>
        </w:rPr>
        <w:t xml:space="preserve">29.2</w:t>
      </w:r>
      <w:r>
        <w:tab/>
      </w:r>
      <w:r>
        <w:t xml:space="preserve">Does the backend start the scheduler?</w:t>
      </w:r>
    </w:p>
    <w:p>
      <w:pPr>
        <w:pStyle w:val="FirstParagraph"/>
      </w:pPr>
      <w:r>
        <w:t xml:space="preserve">No. The scheduler is a separate runtime.</w:t>
      </w:r>
    </w:p>
    <w:bookmarkEnd w:id="150"/>
    <w:bookmarkStart w:id="151" w:name="can-a-client-choose-a-user-id"/>
    <w:p>
      <w:pPr>
        <w:pStyle w:val="Heading2"/>
      </w:pPr>
      <w:r>
        <w:rPr>
          <w:rStyle w:val="SectionNumber"/>
        </w:rPr>
        <w:t xml:space="preserve">29.3</w:t>
      </w:r>
      <w:r>
        <w:tab/>
      </w:r>
      <w:r>
        <w:t xml:space="preserve">Can a client choose a user ID?</w:t>
      </w:r>
    </w:p>
    <w:p>
      <w:pPr>
        <w:pStyle w:val="FirstParagraph"/>
      </w:pPr>
      <w:r>
        <w:t xml:space="preserve">No. Ownership always comes from the authenticated session.</w:t>
      </w:r>
    </w:p>
    <w:bookmarkEnd w:id="151"/>
    <w:bookmarkStart w:id="152" w:name="can-dbpush-deploy-production-schema"/>
    <w:p>
      <w:pPr>
        <w:pStyle w:val="Heading2"/>
      </w:pPr>
      <w:r>
        <w:rPr>
          <w:rStyle w:val="SectionNumber"/>
        </w:rPr>
        <w:t xml:space="preserve">29.4</w:t>
      </w:r>
      <w:r>
        <w:tab/>
      </w:r>
      <w:r>
        <w:t xml:space="preserve">Can</w:t>
      </w:r>
      <w:r>
        <w:t xml:space="preserve"> </w:t>
      </w:r>
      <w:r>
        <w:rPr>
          <w:rStyle w:val="VerbatimChar"/>
        </w:rPr>
        <w:t xml:space="preserve">db:push</w:t>
      </w:r>
      <w:r>
        <w:t xml:space="preserve"> </w:t>
      </w:r>
      <w:r>
        <w:t xml:space="preserve">deploy production schema?</w:t>
      </w:r>
    </w:p>
    <w:p>
      <w:pPr>
        <w:pStyle w:val="FirstParagraph"/>
      </w:pPr>
      <w:r>
        <w:t xml:space="preserve">No. Production uses reviewed migrations.</w:t>
      </w:r>
    </w:p>
    <w:bookmarkEnd w:id="152"/>
    <w:bookmarkStart w:id="153" w:name="is-a-compose-volume-a-backup"/>
    <w:p>
      <w:pPr>
        <w:pStyle w:val="Heading2"/>
      </w:pPr>
      <w:r>
        <w:rPr>
          <w:rStyle w:val="SectionNumber"/>
        </w:rPr>
        <w:t xml:space="preserve">29.5</w:t>
      </w:r>
      <w:r>
        <w:tab/>
      </w:r>
      <w:r>
        <w:t xml:space="preserve">Is a Compose volume a backup?</w:t>
      </w:r>
    </w:p>
    <w:p>
      <w:pPr>
        <w:pStyle w:val="FirstParagraph"/>
      </w:pPr>
      <w:r>
        <w:t xml:space="preserve">No. It is local persistence.</w:t>
      </w:r>
    </w:p>
    <w:bookmarkEnd w:id="153"/>
    <w:bookmarkStart w:id="154" w:name="does-trackly-use-firebase"/>
    <w:p>
      <w:pPr>
        <w:pStyle w:val="Heading2"/>
      </w:pPr>
      <w:r>
        <w:rPr>
          <w:rStyle w:val="SectionNumber"/>
        </w:rPr>
        <w:t xml:space="preserve">29.6</w:t>
      </w:r>
      <w:r>
        <w:tab/>
      </w:r>
      <w:r>
        <w:t xml:space="preserve">Does Trackly use Firebase?</w:t>
      </w:r>
    </w:p>
    <w:p>
      <w:pPr>
        <w:pStyle w:val="FirstParagraph"/>
      </w:pPr>
      <w:r>
        <w:t xml:space="preserve">No. Browser notifications use standard Web Push with VAPID.</w:t>
      </w:r>
    </w:p>
    <w:p>
      <w:pPr>
        <w:pStyle w:val="BodyText"/>
      </w:pPr>
      <w:r>
        <w:t xml:space="preserve">See the complete</w:t>
      </w:r>
      <w:r>
        <w:t xml:space="preserve"> </w:t>
      </w:r>
      <w:hyperlink w:anchor="chapter-faq">
        <w:r>
          <w:rPr>
            <w:rStyle w:val="Hyperlink"/>
          </w:rPr>
          <w:t xml:space="preserve">FAQ</w:t>
        </w:r>
      </w:hyperlink>
      <w:r>
        <w:t xml:space="preserve">.</w:t>
      </w:r>
    </w:p>
    <w:p>
      <w:r>
        <w:br w:type="page"/>
      </w:r>
    </w:p>
    <w:bookmarkEnd w:id="154"/>
    <w:bookmarkEnd w:id="155"/>
    <w:bookmarkStart w:id="156" w:name="chapter-glossary"/>
    <w:p>
      <w:pPr>
        <w:pStyle w:val="Heading1"/>
      </w:pPr>
      <w:r>
        <w:rPr>
          <w:rStyle w:val="SectionNumber"/>
        </w:rPr>
        <w:t xml:space="preserve">30</w:t>
      </w:r>
      <w:r>
        <w:tab/>
      </w: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8"/>
        <w:gridCol w:w="64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Logical date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calendar date interpreted in the user’s 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Occurrence</w:t>
            </w:r>
          </w:p>
        </w:tc>
        <w:tc>
          <w:tcPr/>
          <w:p>
            <w:pPr>
              <w:pStyle w:val="Compact"/>
            </w:pPr>
            <w:r>
              <w:t xml:space="preserve">A derived scheduled habit instance for one logical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Absolute progress stored for one habit/date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day</w:t>
            </w:r>
          </w:p>
        </w:tc>
        <w:tc>
          <w:tcPr/>
          <w:p>
            <w:pPr>
              <w:pStyle w:val="Compact"/>
            </w:pPr>
            <w:r>
              <w:t xml:space="preserve">A date with at least one scheduled occurrence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rate</w:t>
            </w:r>
          </w:p>
        </w:tc>
        <w:tc>
          <w:tcPr/>
          <w:p>
            <w:pPr>
              <w:pStyle w:val="Compact"/>
            </w:pPr>
            <w:r>
              <w:t xml:space="preserve">Completed occurrences divided by scheduled occurrences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rate</w:t>
            </w:r>
          </w:p>
        </w:tc>
        <w:tc>
          <w:tcPr/>
          <w:p>
            <w:pPr>
              <w:pStyle w:val="Compact"/>
            </w:pPr>
            <w:r>
              <w:t xml:space="preserve">Capped completed volume divided by target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Retention through nullable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ID</w:t>
            </w:r>
          </w:p>
        </w:tc>
        <w:tc>
          <w:tcPr/>
          <w:p>
            <w:pPr>
              <w:pStyle w:val="Compact"/>
            </w:pPr>
            <w:r>
              <w:t xml:space="preserve">Correlation identifier returned in</w:t>
            </w:r>
            <w:r>
              <w:t xml:space="preserve"> </w:t>
            </w:r>
            <w:r>
              <w:rPr>
                <w:rStyle w:val="VerbatimChar"/>
              </w:rPr>
              <w:t xml:space="preserve">x-request-id</w:t>
            </w:r>
            <w:r>
              <w:t xml:space="preserve"> </w:t>
            </w:r>
            <w:r>
              <w:t xml:space="preserve">and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Explicit notification delivery adapter such as</w:t>
            </w:r>
            <w:r>
              <w:t xml:space="preserve"> </w:t>
            </w:r>
            <w:r>
              <w:rPr>
                <w:rStyle w:val="VerbatimChar"/>
              </w:rPr>
              <w:t xml:space="preserve">noop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web_push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t xml:space="preserve">Ability to query PostgreSQL and serve database-dependent traffic</w:t>
            </w:r>
          </w:p>
        </w:tc>
      </w:tr>
    </w:tbl>
    <w:p>
      <w:pPr>
        <w:pStyle w:val="BodyText"/>
      </w:pPr>
      <w:r>
        <w:t xml:space="preserve">See the complete</w:t>
      </w:r>
      <w:r>
        <w:t xml:space="preserve"> </w:t>
      </w:r>
      <w:hyperlink w:anchor="chapter-glossary">
        <w:r>
          <w:rPr>
            <w:rStyle w:val="Hyperlink"/>
          </w:rPr>
          <w:t xml:space="preserve">Glossary</w:t>
        </w:r>
      </w:hyperlink>
      <w:r>
        <w:t xml:space="preserve">.</w:t>
      </w:r>
    </w:p>
    <w:p>
      <w:r>
        <w:br w:type="page"/>
      </w:r>
    </w:p>
    <w:bookmarkEnd w:id="156"/>
    <w:bookmarkStart w:id="157" w:name="chapter-decision-log"/>
    <w:p>
      <w:pPr>
        <w:pStyle w:val="Heading1"/>
      </w:pPr>
      <w:r>
        <w:rPr>
          <w:rStyle w:val="SectionNumber"/>
        </w:rPr>
        <w:t xml:space="preserve">31</w:t>
      </w:r>
      <w:r>
        <w:tab/>
      </w:r>
      <w:r>
        <w:t xml:space="preserve">Decision Log</w:t>
      </w:r>
    </w:p>
    <w:p>
      <w:pPr>
        <w:pStyle w:val="FirstParagraph"/>
      </w:pPr>
      <w:r>
        <w:t xml:space="preserve">Current repository-backed decisions include:</w:t>
      </w:r>
    </w:p>
    <w:p>
      <w:pPr>
        <w:pStyle w:val="Compact"/>
        <w:numPr>
          <w:ilvl w:val="0"/>
          <w:numId w:val="1005"/>
        </w:numPr>
      </w:pPr>
      <w:r>
        <w:t xml:space="preserve">TypeScript across application code.</w:t>
      </w:r>
    </w:p>
    <w:p>
      <w:pPr>
        <w:pStyle w:val="Compact"/>
        <w:numPr>
          <w:ilvl w:val="0"/>
          <w:numId w:val="1005"/>
        </w:numPr>
      </w:pPr>
      <w:r>
        <w:t xml:space="preserve">Versioned Trackly application endpoints.</w:t>
      </w:r>
    </w:p>
    <w:p>
      <w:pPr>
        <w:pStyle w:val="Compact"/>
        <w:numPr>
          <w:ilvl w:val="0"/>
          <w:numId w:val="1005"/>
        </w:numPr>
      </w:pPr>
      <w:r>
        <w:t xml:space="preserve">Controller, service, and repository separation.</w:t>
      </w:r>
    </w:p>
    <w:p>
      <w:pPr>
        <w:pStyle w:val="Compact"/>
        <w:numPr>
          <w:ilvl w:val="0"/>
          <w:numId w:val="1005"/>
        </w:numPr>
      </w:pPr>
      <w:r>
        <w:t xml:space="preserve">PostgreSQL and Drizzle with reviewed migrations.</w:t>
      </w:r>
    </w:p>
    <w:p>
      <w:pPr>
        <w:pStyle w:val="Compact"/>
        <w:numPr>
          <w:ilvl w:val="0"/>
          <w:numId w:val="1005"/>
        </w:numPr>
      </w:pPr>
      <w:r>
        <w:t xml:space="preserve">Better Auth ownership of authentication data.</w:t>
      </w:r>
    </w:p>
    <w:p>
      <w:pPr>
        <w:pStyle w:val="Compact"/>
        <w:numPr>
          <w:ilvl w:val="0"/>
          <w:numId w:val="1005"/>
        </w:numPr>
      </w:pPr>
      <w:r>
        <w:t xml:space="preserve">User-timezone logical dates.</w:t>
      </w:r>
    </w:p>
    <w:p>
      <w:pPr>
        <w:pStyle w:val="Compact"/>
        <w:numPr>
          <w:ilvl w:val="0"/>
          <w:numId w:val="1005"/>
        </w:numPr>
      </w:pPr>
      <w:r>
        <w:t xml:space="preserve">Derived metrics rather than persisted aggregates.</w:t>
      </w:r>
    </w:p>
    <w:p>
      <w:pPr>
        <w:pStyle w:val="Compact"/>
        <w:numPr>
          <w:ilvl w:val="0"/>
          <w:numId w:val="1005"/>
        </w:numPr>
      </w:pPr>
      <w:r>
        <w:t xml:space="preserve">Server-rendered reads with focused client boundaries.</w:t>
      </w:r>
    </w:p>
    <w:p>
      <w:pPr>
        <w:pStyle w:val="Compact"/>
        <w:numPr>
          <w:ilvl w:val="0"/>
          <w:numId w:val="1005"/>
        </w:numPr>
      </w:pPr>
      <w:r>
        <w:t xml:space="preserve">Provider-neutral notification delivery.</w:t>
      </w:r>
    </w:p>
    <w:p>
      <w:pPr>
        <w:pStyle w:val="Compact"/>
        <w:numPr>
          <w:ilvl w:val="0"/>
          <w:numId w:val="1005"/>
        </w:numPr>
      </w:pPr>
      <w:r>
        <w:t xml:space="preserve">Structured logs and audit events without a persisted audit table.</w:t>
      </w:r>
    </w:p>
    <w:p>
      <w:pPr>
        <w:pStyle w:val="Compact"/>
        <w:numPr>
          <w:ilvl w:val="0"/>
          <w:numId w:val="1005"/>
        </w:numPr>
      </w:pPr>
      <w:r>
        <w:t xml:space="preserve">Development Compose plus production image targets.</w:t>
      </w:r>
    </w:p>
    <w:p>
      <w:pPr>
        <w:pStyle w:val="FirstParagraph"/>
      </w:pPr>
      <w:r>
        <w:t xml:space="preserve">The</w:t>
      </w:r>
      <w:r>
        <w:t xml:space="preserve"> </w:t>
      </w:r>
      <w:hyperlink w:anchor="chapter-decision-log">
        <w:r>
          <w:rPr>
            <w:rStyle w:val="Hyperlink"/>
          </w:rPr>
          <w:t xml:space="preserve">Decision Log</w:t>
        </w:r>
      </w:hyperlink>
      <w:r>
        <w:t xml:space="preserve"> </w:t>
      </w:r>
      <w:r>
        <w:t xml:space="preserve">records context,</w:t>
      </w:r>
      <w:r>
        <w:t xml:space="preserve"> </w:t>
      </w:r>
      <w:r>
        <w:t xml:space="preserve">consequences, and evidence without inventing dates or authors.</w:t>
      </w:r>
    </w:p>
    <w:p>
      <w:r>
        <w:br w:type="page"/>
      </w:r>
    </w:p>
    <w:bookmarkEnd w:id="157"/>
    <w:bookmarkStart w:id="158" w:name="appendices"/>
    <w:p>
      <w:pPr>
        <w:pStyle w:val="Heading1"/>
      </w:pPr>
      <w:r>
        <w:t xml:space="preserve">Appendices</w:t>
      </w:r>
    </w:p>
    <w:p>
      <w:r>
        <w:br w:type="page"/>
      </w:r>
    </w:p>
    <w:bookmarkEnd w:id="158"/>
    <w:bookmarkStart w:id="159" w:name="appendix-commands"/>
    <w:p>
      <w:pPr>
        <w:pStyle w:val="Heading1"/>
      </w:pPr>
      <w:r>
        <w:t xml:space="preserve">Appendix A — Useful Commands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validate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test:database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db:generate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db:migrate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db:seed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audit:security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docs:screenshots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config </w:t>
      </w:r>
      <w:r>
        <w:rPr>
          <w:rStyle w:val="AttributeTok"/>
        </w:rPr>
        <w:t xml:space="preserve">--quiet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r>
        <w:br w:type="page"/>
      </w:r>
    </w:p>
    <w:bookmarkEnd w:id="159"/>
    <w:bookmarkStart w:id="160" w:name="appendix-limitations"/>
    <w:p>
      <w:pPr>
        <w:pStyle w:val="Heading1"/>
      </w:pPr>
      <w:r>
        <w:t xml:space="preserve">Appendix B — Known Limitations</w:t>
      </w:r>
    </w:p>
    <w:p>
      <w:pPr>
        <w:pStyle w:val="Compact"/>
        <w:numPr>
          <w:ilvl w:val="0"/>
          <w:numId w:val="1006"/>
        </w:numPr>
      </w:pPr>
      <w:r>
        <w:t xml:space="preserve">Tasks and standalone Insights remain placeholder-only.</w:t>
      </w:r>
    </w:p>
    <w:p>
      <w:pPr>
        <w:pStyle w:val="Compact"/>
        <w:numPr>
          <w:ilvl w:val="0"/>
          <w:numId w:val="1006"/>
        </w:numPr>
      </w:pPr>
      <w:r>
        <w:t xml:space="preserve">Category management has no public mutation workflow.</w:t>
      </w:r>
    </w:p>
    <w:p>
      <w:pPr>
        <w:pStyle w:val="Compact"/>
        <w:numPr>
          <w:ilvl w:val="0"/>
          <w:numId w:val="1006"/>
        </w:numPr>
      </w:pPr>
      <w:r>
        <w:t xml:space="preserve">Analytics uses fixed periods rather than arbitrary date ranges.</w:t>
      </w:r>
    </w:p>
    <w:p>
      <w:pPr>
        <w:pStyle w:val="Compact"/>
        <w:numPr>
          <w:ilvl w:val="0"/>
          <w:numId w:val="1006"/>
        </w:numPr>
      </w:pPr>
      <w:r>
        <w:t xml:space="preserve">Web Push is the only real notification provider.</w:t>
      </w:r>
    </w:p>
    <w:p>
      <w:pPr>
        <w:pStyle w:val="Compact"/>
        <w:numPr>
          <w:ilvl w:val="0"/>
          <w:numId w:val="1006"/>
        </w:numPr>
      </w:pPr>
      <w:r>
        <w:t xml:space="preserve">Notification delivery has no automatic retry queue or history UI.</w:t>
      </w:r>
    </w:p>
    <w:p>
      <w:pPr>
        <w:pStyle w:val="Compact"/>
        <w:numPr>
          <w:ilvl w:val="0"/>
          <w:numId w:val="1006"/>
        </w:numPr>
      </w:pPr>
      <w:r>
        <w:t xml:space="preserve">Scheduler leadership is not distributed.</w:t>
      </w:r>
    </w:p>
    <w:p>
      <w:pPr>
        <w:pStyle w:val="Compact"/>
        <w:numPr>
          <w:ilvl w:val="0"/>
          <w:numId w:val="1006"/>
        </w:numPr>
      </w:pPr>
      <w:r>
        <w:t xml:space="preserve">Rate limiting is process-local.</w:t>
      </w:r>
    </w:p>
    <w:p>
      <w:pPr>
        <w:pStyle w:val="Compact"/>
        <w:numPr>
          <w:ilvl w:val="0"/>
          <w:numId w:val="1006"/>
        </w:numPr>
      </w:pPr>
      <w:r>
        <w:t xml:space="preserve">Swagger exposure, TLS, backups, monitoring, and production orchestration are</w:t>
      </w:r>
      <w:r>
        <w:t xml:space="preserve"> </w:t>
      </w:r>
      <w:r>
        <w:t xml:space="preserve">deployment responsibilities.</w:t>
      </w:r>
    </w:p>
    <w:p>
      <w:pPr>
        <w:pStyle w:val="Compact"/>
        <w:numPr>
          <w:ilvl w:val="0"/>
          <w:numId w:val="1006"/>
        </w:numPr>
      </w:pPr>
      <w:r>
        <w:t xml:space="preserve">The production backend image is not a migration runner.</w:t>
      </w:r>
    </w:p>
    <w:p>
      <w:pPr>
        <w:pStyle w:val="Compact"/>
        <w:numPr>
          <w:ilvl w:val="0"/>
          <w:numId w:val="1006"/>
        </w:numPr>
      </w:pPr>
      <w:r>
        <w:t xml:space="preserve">PDF/DOCX and Mermaid-SVG generation are not yet automated.</w:t>
      </w:r>
    </w:p>
    <w:p>
      <w:r>
        <w:br w:type="page"/>
      </w:r>
    </w:p>
    <w:bookmarkEnd w:id="160"/>
    <w:bookmarkStart w:id="161" w:name="appendix-future"/>
    <w:p>
      <w:pPr>
        <w:pStyle w:val="Heading1"/>
      </w:pPr>
      <w:r>
        <w:t xml:space="preserve">Appendix C — Future Improvements</w:t>
      </w:r>
    </w:p>
    <w:p>
      <w:pPr>
        <w:pStyle w:val="FirstParagraph"/>
      </w:pPr>
      <w:r>
        <w:t xml:space="preserve">Repository-backed engineering needs include production deployment definition,</w:t>
      </w:r>
      <w:r>
        <w:t xml:space="preserve"> </w:t>
      </w:r>
      <w:r>
        <w:t xml:space="preserve">migration packaging, backup/restore drills, external log retention and alerts,</w:t>
      </w:r>
      <w:r>
        <w:t xml:space="preserve"> </w:t>
      </w:r>
      <w:r>
        <w:t xml:space="preserve">frontend health checks, scheduler ownership, distributed rate limiting for</w:t>
      </w:r>
      <w:r>
        <w:t xml:space="preserve"> </w:t>
      </w:r>
      <w:r>
        <w:t xml:space="preserve">multi-replica deployment, performance budgets, and documentation publication</w:t>
      </w:r>
      <w:r>
        <w:t xml:space="preserve"> </w:t>
      </w:r>
      <w:r>
        <w:t xml:space="preserve">automation.</w:t>
      </w:r>
    </w:p>
    <w:p>
      <w:pPr>
        <w:pStyle w:val="BodyText"/>
      </w:pPr>
      <w:r>
        <w:t xml:space="preserve">No unimplemented product capability is presented as committed roadmap.</w:t>
      </w:r>
    </w:p>
    <w:p>
      <w:r>
        <w:br w:type="page"/>
      </w:r>
    </w:p>
    <w:bookmarkEnd w:id="161"/>
    <w:bookmarkStart w:id="162" w:name="appendix-maintenance"/>
    <w:p>
      <w:pPr>
        <w:pStyle w:val="Heading1"/>
      </w:pPr>
      <w:r>
        <w:t xml:space="preserve">Appendix D — Documentation Maintenance</w:t>
      </w:r>
    </w:p>
    <w:p>
      <w:pPr>
        <w:pStyle w:val="FirstParagraph"/>
      </w:pPr>
      <w:r>
        <w:t xml:space="preserve">Canonical Markdown remains authoritative. When implementation changes:</w:t>
      </w:r>
    </w:p>
    <w:p>
      <w:pPr>
        <w:pStyle w:val="Compact"/>
        <w:numPr>
          <w:ilvl w:val="0"/>
          <w:numId w:val="1007"/>
        </w:numPr>
      </w:pPr>
      <w:r>
        <w:t xml:space="preserve">Update the relevant canonical design, feature, development, deployment, API,</w:t>
      </w:r>
      <w:r>
        <w:t xml:space="preserve"> </w:t>
      </w:r>
      <w:r>
        <w:t xml:space="preserve">or database document.</w:t>
      </w:r>
    </w:p>
    <w:p>
      <w:pPr>
        <w:pStyle w:val="Compact"/>
        <w:numPr>
          <w:ilvl w:val="0"/>
          <w:numId w:val="1007"/>
        </w:numPr>
      </w:pPr>
      <w:r>
        <w:t xml:space="preserve">Update the publication chapter only when the change affects its narrative.</w:t>
      </w:r>
    </w:p>
    <w:p>
      <w:pPr>
        <w:pStyle w:val="Compact"/>
        <w:numPr>
          <w:ilvl w:val="0"/>
          <w:numId w:val="1007"/>
        </w:numPr>
      </w:pPr>
      <w:r>
        <w:t xml:space="preserve">Regenerate deterministic screenshots when visible UI changes.</w:t>
      </w:r>
    </w:p>
    <w:p>
      <w:pPr>
        <w:pStyle w:val="Compact"/>
        <w:numPr>
          <w:ilvl w:val="0"/>
          <w:numId w:val="1007"/>
        </w:numPr>
      </w:pPr>
      <w:r>
        <w:t xml:space="preserve">Update screenshot and figure manifests.</w:t>
      </w:r>
    </w:p>
    <w:p>
      <w:pPr>
        <w:pStyle w:val="Compact"/>
        <w:numPr>
          <w:ilvl w:val="0"/>
          <w:numId w:val="1007"/>
        </w:numPr>
      </w:pPr>
      <w:r>
        <w:t xml:space="preserve">Validate relative paths, internal anchors, duplicate headings, fences,</w:t>
      </w:r>
      <w:r>
        <w:t xml:space="preserve"> </w:t>
      </w:r>
      <w:r>
        <w:t xml:space="preserve">Mermaid rendering, CSS, and formatting.</w:t>
      </w:r>
    </w:p>
    <w:p>
      <w:pPr>
        <w:pStyle w:val="Compact"/>
        <w:numPr>
          <w:ilvl w:val="0"/>
          <w:numId w:val="1007"/>
        </w:numPr>
      </w:pPr>
      <w:r>
        <w:t xml:space="preserve">Generate PDF and DOCX from reviewed Markdown.</w:t>
      </w:r>
    </w:p>
    <w:p>
      <w:pPr>
        <w:pStyle w:val="Compact"/>
        <w:numPr>
          <w:ilvl w:val="0"/>
          <w:numId w:val="1007"/>
        </w:numPr>
      </w:pPr>
      <w:r>
        <w:t xml:space="preserve">Visually inspect every page before publication.</w:t>
      </w:r>
    </w:p>
    <w:p>
      <w:pPr>
        <w:pStyle w:val="FirstParagraph"/>
      </w:pPr>
      <w:r>
        <w:t xml:space="preserve">The</w:t>
      </w:r>
      <w:r>
        <w:t xml:space="preserve"> </w:t>
      </w:r>
      <w:hyperlink w:anchor="appendix-maintenance">
        <w:r>
          <w:rPr>
            <w:rStyle w:val="Hyperlink"/>
          </w:rPr>
          <w:t xml:space="preserve">publication README</w:t>
        </w:r>
      </w:hyperlink>
      <w:r>
        <w:t xml:space="preserve"> </w:t>
      </w:r>
      <w:r>
        <w:t xml:space="preserve">and</w:t>
      </w:r>
      <w:r>
        <w:t xml:space="preserve"> </w:t>
      </w:r>
      <w:hyperlink w:anchor="appendix-maintenance">
        <w:r>
          <w:rPr>
            <w:rStyle w:val="Hyperlink"/>
          </w:rPr>
          <w:t xml:space="preserve">publication plan</w:t>
        </w:r>
      </w:hyperlink>
      <w:r>
        <w:t xml:space="preserve"> </w:t>
      </w:r>
      <w:r>
        <w:t xml:space="preserve">define the next rendering stage.</w:t>
      </w:r>
    </w:p>
    <w:bookmarkEnd w:id="162"/>
    <w:sectPr>
      <w:headerReference r:id="rId9" w:type="default"/>
      <w:footerReference r:id="rId10" w:type="default"/>
      <w:pgSz w:h="16838" w:w="11906"/>
      <w:pgMar w:bottom="1247" w:footer="709" w:gutter="0" w:header="709" w:left="1020" w:right="102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25D6F"/>
        <w:sz w:val="16"/>
      </w:rPr>
      <w:t xml:space="preserve">Trackly  |  Version 1.0                                   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25D6F"/>
        <w:sz w:val="17"/>
      </w:rPr>
      <w:t>TRACKLY  |  TECHNICAL DOCUMENTATION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Calibri" w:hAnsi="Calibri"/>
      <w:b w:val="0"/>
      <w:color w:val="17151F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6D4AB0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6D4AB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342B45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7151F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400" w:line="240" w:lineRule="auto"/>
      <w:contextualSpacing/>
    </w:pPr>
    <w:rPr>
      <w:rFonts w:ascii="Calibri" w:asciiTheme="majorHAnsi" w:cstheme="majorBidi" w:eastAsiaTheme="majorEastAsia" w:hAnsi="Calibri" w:hAnsiTheme="majorHAnsi"/>
      <w:b/>
      <w:color w:val="17151F"/>
      <w:spacing w:val="5"/>
      <w:kern w:val="28"/>
      <w:sz w:val="6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</w:pPr>
    <w:rPr>
      <w:rFonts w:ascii="Calibri" w:asciiTheme="majorHAnsi" w:cstheme="majorBidi" w:eastAsiaTheme="majorEastAsia" w:hAnsi="Calibri" w:hAnsiTheme="majorHAnsi"/>
      <w:b w:val="0"/>
      <w:i/>
      <w:iCs/>
      <w:color w:val="625D6F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80" w:line="240" w:lineRule="auto"/>
      <w:jc w:val="center"/>
    </w:pPr>
    <w:rPr>
      <w:rFonts w:ascii="Calibri" w:hAnsi="Calibri"/>
      <w:b w:val="0"/>
      <w:bCs/>
      <w:i/>
      <w:color w:val="625D6F"/>
      <w:sz w:val="17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ImageCaption" w:type="paragraph">
    <w:name w:val="Image Caption"/>
    <w:pPr>
      <w:spacing w:after="160" w:before="80"/>
      <w:jc w:val="center"/>
    </w:pPr>
    <w:rPr>
      <w:rFonts w:ascii="Calibri" w:hAnsi="Calibri"/>
      <w:b w:val="0"/>
      <w:i/>
      <w:color w:val="625D6F"/>
      <w:sz w:val="17"/>
    </w:rPr>
  </w:style>
  <w:style w:customStyle="1" w:styleId="SourceCode" w:type="paragraph">
    <w:name w:val="Source Code"/>
    <w:pPr>
      <w:keepLines/>
      <w:spacing w:after="140" w:before="80"/>
    </w:pPr>
    <w:rPr>
      <w:rFonts w:ascii="Cascadia Mono" w:hAnsi="Cascadia Mono"/>
      <w:b w:val="0"/>
      <w:color w:val="17151F"/>
      <w:sz w:val="17"/>
    </w:rPr>
  </w:style>
  <w:style w:customStyle="1" w:styleId="VerbatimChar" w:type="character">
    <w:name w:val="Verbatim Char"/>
    <w:rPr>
      <w:rFonts w:ascii="Cascadia Mono" w:hAnsi="Cascadia Mono"/>
      <w:b w:val="0"/>
      <w:color w:val="17151F"/>
      <w:sz w:val="17"/>
    </w:rPr>
  </w:style>
  <w:style w:customStyle="1" w:styleId="Callout" w:type="paragraph">
    <w:name w:val="Callout"/>
    <w:pPr>
      <w:spacing w:after="160" w:before="120"/>
      <w:ind w:left="283" w:right="283"/>
    </w:pPr>
    <w:rPr>
      <w:rFonts w:ascii="Calibri" w:hAnsi="Calibri"/>
      <w:b w:val="0"/>
      <w:color w:val="17151F"/>
      <w:sz w:val="20"/>
    </w:rPr>
  </w:style>
  <w:style w:customStyle="1" w:styleId="Hyperlink" w:type="character">
    <w:name w:val="Hyperlink"/>
    <w:rPr>
      <w:rFonts w:ascii="Calibri" w:hAnsi="Calibri"/>
      <w:b w:val="0"/>
      <w:color w:val="6D4AB0"/>
      <w:sz w:val="21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11" Target="media/rId111.png" /><Relationship Type="http://schemas.openxmlformats.org/officeDocument/2006/relationships/image" Id="rId107" Target="media/rId107.png" /><Relationship Type="http://schemas.openxmlformats.org/officeDocument/2006/relationships/image" Id="rId97" Target="media/rId97.png" /><Relationship Type="http://schemas.openxmlformats.org/officeDocument/2006/relationships/image" Id="rId80" Target="media/rId80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51" Target="media/rId51.png" /><Relationship Type="http://schemas.openxmlformats.org/officeDocument/2006/relationships/image" Id="rId92" Target="media/rId92.png" /><Relationship Type="http://schemas.openxmlformats.org/officeDocument/2006/relationships/image" Id="rId36" Target="media/rId36.png" /><Relationship Type="http://schemas.openxmlformats.org/officeDocument/2006/relationships/image" Id="rId71" Target="media/rId71.png" /><Relationship Type="http://schemas.openxmlformats.org/officeDocument/2006/relationships/image" Id="rId102" Target="media/rId102.png" /><Relationship Type="http://schemas.openxmlformats.org/officeDocument/2006/relationships/image" Id="rId55" Target="media/rId55.png" /><Relationship Type="http://schemas.openxmlformats.org/officeDocument/2006/relationships/image" Id="rId116" Target="media/rId116.png" /><Relationship Type="http://schemas.openxmlformats.org/officeDocument/2006/relationships/image" Id="rId67" Target="media/rId67.png" /><Relationship Type="http://schemas.openxmlformats.org/officeDocument/2006/relationships/image" Id="rId47" Target="media/rId47.svg" /><Relationship Type="http://schemas.openxmlformats.org/officeDocument/2006/relationships/image" Id="rId136" Target="media/rId136.svg" /><Relationship Type="http://schemas.openxmlformats.org/officeDocument/2006/relationships/image" Id="rId60" Target="media/rId60.svg" /><Relationship Type="http://schemas.openxmlformats.org/officeDocument/2006/relationships/image" Id="rId132" Target="media/rId132.svg" /><Relationship Type="http://schemas.openxmlformats.org/officeDocument/2006/relationships/image" Id="rId84" Target="media/rId84.svg" /><Relationship Type="http://schemas.openxmlformats.org/officeDocument/2006/relationships/image" Id="rId120" Target="media/rId120.svg" /><Relationship Type="http://schemas.openxmlformats.org/officeDocument/2006/relationships/image" Id="rId42" Target="media/rId42.svg" /><Relationship Type="http://schemas.openxmlformats.org/officeDocument/2006/relationships/image" Id="rId27" Target="media/rId2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Trackly Technical Documentation</dc:title>
  <dc:creator>Fahmy Akhmad Firdaus</dc:creator>
  <dc:language>en-US</dc:language>
  <cp:keywords/>
  <dcterms:created xsi:type="dcterms:W3CDTF">2026-07-30T05:34:20Z</dcterms:created>
  <dcterms:modified xsi:type="dcterms:W3CDTF">2026-07-30T05:34:20Z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Architecture, Development, Features, and Operations</vt:lpwstr>
  </property>
  <property fmtid="{D5CDD505-2E9C-101B-9397-08002B2CF9AE}" pid="4" name="version">
    <vt:lpwstr>1.0</vt:lpwstr>
  </property>
  <property fmtid="{D5CDD505-2E9C-101B-9397-08002B2CF9AE}" pid="5" name="year">
    <vt:lpwstr>2026</vt:lpwstr>
  </property>
</Properties>
</file>