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B0512" w14:textId="77777777" w:rsidR="00306FC8" w:rsidRPr="00306FC8" w:rsidRDefault="00306FC8" w:rsidP="00306FC8">
      <w:pPr>
        <w:jc w:val="center"/>
        <w:rPr>
          <w:rFonts w:ascii="Times New Roman" w:eastAsia="Times New Roman" w:hAnsi="Times New Roman" w:cs="Times New Roman"/>
          <w:kern w:val="0"/>
          <w14:ligatures w14:val="none"/>
        </w:rPr>
      </w:pPr>
      <w:r w:rsidRPr="00306FC8">
        <w:rPr>
          <w:rFonts w:ascii="Aptos" w:eastAsia="Times New Roman" w:hAnsi="Aptos" w:cs="Times New Roman"/>
          <w:color w:val="000000"/>
          <w:kern w:val="0"/>
          <w:sz w:val="32"/>
          <w:szCs w:val="32"/>
          <w14:ligatures w14:val="none"/>
        </w:rPr>
        <w:t>Bayesian Disease Mapping for Public Health utilizing Relative Risks and Standard Mortality Ratios</w:t>
      </w:r>
    </w:p>
    <w:p w14:paraId="6F4E4925" w14:textId="77777777" w:rsidR="00306FC8" w:rsidRPr="00306FC8" w:rsidRDefault="00306FC8" w:rsidP="00306FC8">
      <w:pPr>
        <w:rPr>
          <w:rFonts w:ascii="Times New Roman" w:eastAsia="Times New Roman" w:hAnsi="Times New Roman" w:cs="Times New Roman"/>
          <w:kern w:val="0"/>
          <w14:ligatures w14:val="none"/>
        </w:rPr>
      </w:pPr>
    </w:p>
    <w:p w14:paraId="295906D4" w14:textId="77777777" w:rsidR="00306FC8" w:rsidRPr="00306FC8" w:rsidRDefault="00306FC8" w:rsidP="00306FC8">
      <w:pPr>
        <w:jc w:val="center"/>
        <w:rPr>
          <w:rFonts w:ascii="Times New Roman" w:eastAsia="Times New Roman" w:hAnsi="Times New Roman" w:cs="Times New Roman"/>
          <w:kern w:val="0"/>
          <w14:ligatures w14:val="none"/>
        </w:rPr>
      </w:pPr>
      <w:r w:rsidRPr="00306FC8">
        <w:rPr>
          <w:rFonts w:ascii="Aptos" w:eastAsia="Times New Roman" w:hAnsi="Aptos" w:cs="Times New Roman"/>
          <w:color w:val="000000"/>
          <w:kern w:val="0"/>
          <w14:ligatures w14:val="none"/>
        </w:rPr>
        <w:t xml:space="preserve">Valentina </w:t>
      </w:r>
      <w:proofErr w:type="spellStart"/>
      <w:r w:rsidRPr="00306FC8">
        <w:rPr>
          <w:rFonts w:ascii="Aptos" w:eastAsia="Times New Roman" w:hAnsi="Aptos" w:cs="Times New Roman"/>
          <w:color w:val="000000"/>
          <w:kern w:val="0"/>
          <w14:ligatures w14:val="none"/>
        </w:rPr>
        <w:t>Arputhasamy</w:t>
      </w:r>
      <w:proofErr w:type="spellEnd"/>
      <w:r w:rsidRPr="00306FC8">
        <w:rPr>
          <w:rFonts w:ascii="Aptos" w:eastAsia="Times New Roman" w:hAnsi="Aptos" w:cs="Times New Roman"/>
          <w:color w:val="000000"/>
          <w:kern w:val="0"/>
          <w14:ligatures w14:val="none"/>
        </w:rPr>
        <w:t>, John Molitor</w:t>
      </w:r>
    </w:p>
    <w:p w14:paraId="5767CC8E" w14:textId="77777777" w:rsidR="00306FC8" w:rsidRPr="00306FC8" w:rsidRDefault="00306FC8" w:rsidP="00306FC8">
      <w:pPr>
        <w:rPr>
          <w:rFonts w:ascii="Times New Roman" w:eastAsia="Times New Roman" w:hAnsi="Times New Roman" w:cs="Times New Roman"/>
          <w:kern w:val="0"/>
          <w14:ligatures w14:val="none"/>
        </w:rPr>
      </w:pPr>
    </w:p>
    <w:p w14:paraId="441F3FBF" w14:textId="77777777" w:rsidR="00306FC8" w:rsidRPr="00306FC8" w:rsidRDefault="00306FC8" w:rsidP="00306FC8">
      <w:pPr>
        <w:jc w:val="both"/>
        <w:rPr>
          <w:rFonts w:ascii="Times New Roman" w:eastAsia="Times New Roman" w:hAnsi="Times New Roman" w:cs="Times New Roman"/>
          <w:kern w:val="0"/>
          <w14:ligatures w14:val="none"/>
        </w:rPr>
      </w:pPr>
      <w:r w:rsidRPr="00306FC8">
        <w:rPr>
          <w:rFonts w:ascii="Aptos" w:eastAsia="Times New Roman" w:hAnsi="Aptos" w:cs="Times New Roman"/>
          <w:color w:val="000000"/>
          <w:kern w:val="0"/>
          <w14:ligatures w14:val="none"/>
        </w:rPr>
        <w:t xml:space="preserve">Disease mapping is an approach used in spatial epidemiology to examine the geographical distribution of disease and to identify areas of </w:t>
      </w:r>
      <w:r w:rsidRPr="00306FC8">
        <w:rPr>
          <w:rFonts w:ascii="Aptos" w:eastAsia="Times New Roman" w:hAnsi="Aptos" w:cs="Times New Roman"/>
          <w:b/>
          <w:bCs/>
          <w:color w:val="000000"/>
          <w:kern w:val="0"/>
          <w14:ligatures w14:val="none"/>
        </w:rPr>
        <w:t xml:space="preserve">excessive disease counts </w:t>
      </w:r>
      <w:r w:rsidRPr="00306FC8">
        <w:rPr>
          <w:rFonts w:ascii="Aptos" w:eastAsia="Times New Roman" w:hAnsi="Aptos" w:cs="Times New Roman"/>
          <w:color w:val="000000"/>
          <w:kern w:val="0"/>
          <w14:ligatures w14:val="none"/>
        </w:rPr>
        <w:t xml:space="preserve">compared to what one would expect given the demographic characteristics of the region in question (Lawson and Lee 2017; Elliott and </w:t>
      </w:r>
      <w:proofErr w:type="spellStart"/>
      <w:r w:rsidRPr="00306FC8">
        <w:rPr>
          <w:rFonts w:ascii="Aptos" w:eastAsia="Times New Roman" w:hAnsi="Aptos" w:cs="Times New Roman"/>
          <w:color w:val="000000"/>
          <w:kern w:val="0"/>
          <w14:ligatures w14:val="none"/>
        </w:rPr>
        <w:t>Wartenberg</w:t>
      </w:r>
      <w:proofErr w:type="spellEnd"/>
      <w:r w:rsidRPr="00306FC8">
        <w:rPr>
          <w:rFonts w:ascii="Aptos" w:eastAsia="Times New Roman" w:hAnsi="Aptos" w:cs="Times New Roman"/>
          <w:color w:val="000000"/>
          <w:kern w:val="0"/>
          <w14:ligatures w14:val="none"/>
        </w:rPr>
        <w:t xml:space="preserve"> 2004). Such approaches have a long history dating back to the 1800s when scientists utilized maps of disease rates to characterize the spread and to predict possible outbreaks of diseases such as cholera (Walter 2001). By employing these methods, one can obtain more robust estimates of disease risk compared to traditional approaches by considering the spatial distribution of disease and by providing measures of uncertainty regarding results obtained.</w:t>
      </w:r>
    </w:p>
    <w:p w14:paraId="7DDD6C42" w14:textId="77777777" w:rsidR="00306FC8" w:rsidRPr="00306FC8" w:rsidRDefault="00306FC8" w:rsidP="00306FC8">
      <w:pPr>
        <w:rPr>
          <w:rFonts w:ascii="Times New Roman" w:eastAsia="Times New Roman" w:hAnsi="Times New Roman" w:cs="Times New Roman"/>
          <w:kern w:val="0"/>
          <w14:ligatures w14:val="none"/>
        </w:rPr>
      </w:pPr>
    </w:p>
    <w:p w14:paraId="5C3E2578" w14:textId="77777777" w:rsidR="00306FC8" w:rsidRPr="002E4CC9" w:rsidRDefault="00306FC8" w:rsidP="00306FC8">
      <w:pPr>
        <w:jc w:val="both"/>
      </w:pPr>
      <w:r>
        <w:t xml:space="preserve">One approach to examining excess disease counts as compared to what one would expect given a reference population is the calculation of Standardized Incidence Rates (SIRs) </w:t>
      </w:r>
      <w:r>
        <w:fldChar w:fldCharType="begin"/>
      </w:r>
      <w:r>
        <w:instrText xml:space="preserve"> ADDIN ZOTERO_ITEM CSL_CITATION {"citationID":"m3RGdYhh","properties":{"formattedCitation":"(Becher and Winkler 2017)","plainCitation":"(Becher and Winkler 2017)","noteIndex":0},"citationItems":[{"id":"WrWAMosQ/bcLbP1He","uris":["http://zotero.org/users/2234588/items/FGAVEM3L"],"itemData":{"id":5587,"type":"article-journal","abstract":"Background\nA standard parameter to compare the disease incidence of a cohort relative to the population is the standardized incidence ratio (SIR). For statistical inference is commonly assumed that the denominator, the expected number of cases, is fixed. If a disease registry is available, incident cases can sometimes be identified by linkage with the registry, however, registries may not contain information on migration or death from other causes. A complete follow-up with a population registry may not be possible. In that case, end-of-follow-up date and therefore, exact person-years of observation are unknown.\n\nMethods\nWe have developed a method to estimate the observation times and to derive the expected number of cases using population data on mortality and migration rates. We investigate the impact of the underlying assumptions with a sensitivity analysis.\n\nResults\nThe method provides a useful estimate of the SIR. We illustrate the method with a numerical example, a simulation study and with a study on standardized cancer incidence ratios in a cohort of migrants relative to the German population. We show that the additional variance induced by the estimation method is small, so that standard methods for inference can be applied.\n\nConclusions\nEstimation of the observation time is possible for cohort studies with incomplete follow-up.\n\nElectronic supplementary material\nThe online version of this article (doi:10.1186/s12874-017-0335-3) contains supplementary material, which is available to authorized users.","container-title":"BMC Medical Research Methodology","DOI":"10.1186/s12874-017-0335-3","ISSN":"1471-2288","journalAbbreviation":"BMC Med Res Methodol","note":"PMID: 28403811\nPMCID: PMC5389158","page":"55","source":"PubMed Central","title":"Estimating the standardized incidence ratio (SIR) with incomplete follow-up data","volume":"17","author":[{"family":"Becher","given":"Heiko"},{"family":"Winkler","given":"Volker"}],"issued":{"date-parts":[["2017",4,12]]}}}],"schema":"https://github.com/citation-style-language/schema/raw/master/csl-citation.json"} </w:instrText>
      </w:r>
      <w:r>
        <w:fldChar w:fldCharType="separate"/>
      </w:r>
      <w:r>
        <w:t>(Becher and Winkler 2017)</w:t>
      </w:r>
      <w:r>
        <w:fldChar w:fldCharType="end"/>
      </w:r>
      <w:r>
        <w:t xml:space="preserve"> and Relative Risks (RRs) </w:t>
      </w:r>
      <w:r>
        <w:fldChar w:fldCharType="begin"/>
      </w:r>
      <w:r>
        <w:instrText xml:space="preserve"> ADDIN ZOTERO_ITEM CSL_CITATION {"citationID":"O3gZWsTH","properties":{"formattedCitation":"(Tenny and Hoffman 2024)","plainCitation":"(Tenny and Hoffman 2024)","noteIndex":0},"citationItems":[{"id":"WrWAMosQ/qBZ8EsU0","uris":["http://zotero.org/users/2234588/items/KSEL8Q83"],"itemData":{"id":5601,"type":"chapter","abstract":"Relative risk is a ratio of the probability of an event occurring in the exposed group versus the probability of the event occurring in the non-exposed group.  For example, the relative risk of developing lung cancer (event) in smokers (exposed group) versus non-smokers (non-exposed group) would be the probability of developing lung cancer for smokers divided by the probability of developing lung cancer for nonsmokers.  The relative risk does not provide any information about the absolute risk of the event occurring, but rather the higher or lower likelihood of the event in the exposure versus the non-exposure group.","call-number":"NBK430824","container-title":"StatPearls","event-place":"Treasure Island (FL)","language":"eng","license":"Copyright © 2024, StatPearls Publishing LLC.","note":"PMID: 28613574","publisher":"StatPearls Publishing","publisher-place":"Treasure Island (FL)","source":"PubMed","title":"Relative Risk","URL":"http://www.ncbi.nlm.nih.gov/books/NBK430824/","author":[{"family":"Tenny","given":"Steven"},{"family":"Hoffman","given":"Mary R."}],"accessed":{"date-parts":[["2024",8,12]]},"issued":{"date-parts":[["2024"]]}}}],"schema":"https://github.com/citation-style-language/schema/raw/master/csl-citation.json"} </w:instrText>
      </w:r>
      <w:r>
        <w:fldChar w:fldCharType="separate"/>
      </w:r>
      <w:r>
        <w:t>(Tenny and Hoffman 2024)</w:t>
      </w:r>
      <w:r>
        <w:fldChar w:fldCharType="end"/>
      </w:r>
      <w:r>
        <w:t xml:space="preserve">. An SIR is a ratio that estimates the observed occurrence of an event in a population relative to the expected occurrence of the event in a larger comparison population. For example, if 20% of individuals in a large reference population have a disease, then in a region with 20 individuals, one would expect 20*0.2 = 4 diseased individuals. If 6 individuals have the disease in the region then the SIR is 50% higher than expected. Such computations can be adjusted for demographic variable such as age and sex, so that expected counts take these factors into account. </w:t>
      </w:r>
    </w:p>
    <w:p w14:paraId="573054AB" w14:textId="77777777" w:rsidR="00306FC8" w:rsidRPr="002E4CC9" w:rsidRDefault="00306FC8" w:rsidP="00306FC8">
      <w:pPr>
        <w:jc w:val="both"/>
      </w:pPr>
    </w:p>
    <w:p w14:paraId="742D096C" w14:textId="0ECF2A3D" w:rsidR="00306FC8" w:rsidRPr="002E4CC9" w:rsidRDefault="00306FC8" w:rsidP="00306FC8">
      <w:pPr>
        <w:jc w:val="both"/>
      </w:pPr>
      <w:r w:rsidRPr="002E4CC9">
        <w:t xml:space="preserve">A relative risk is like an SIR except the computation is based on a statistical model, such as a Poisson-based count model, and consists of a modeled value as opposed to an empirical point estimate. Such modeling has advantages </w:t>
      </w:r>
      <w:r>
        <w:t>since it</w:t>
      </w:r>
      <w:r w:rsidRPr="002E4CC9">
        <w:t xml:space="preserve"> can estimate measures of uncertainty, such as confidence limits and exceedance probabilities (e.g. the probability that the RR is great than one) and allow for spatial “smoothing”, where data from nearby regions can inform estimates of parameters in the region in question. Such modeling is extremely useful in small areas where data is </w:t>
      </w:r>
      <w:r w:rsidRPr="002E4CC9">
        <w:t>sparse,</w:t>
      </w:r>
      <w:r w:rsidRPr="002E4CC9">
        <w:t xml:space="preserve"> and SIRs can be</w:t>
      </w:r>
      <w:r>
        <w:t>come</w:t>
      </w:r>
      <w:r w:rsidRPr="002E4CC9">
        <w:t xml:space="preserve"> “noisy” and unreliable.</w:t>
      </w:r>
    </w:p>
    <w:p w14:paraId="7ECF6440" w14:textId="77777777" w:rsidR="00306FC8" w:rsidRPr="002E4CC9" w:rsidRDefault="00306FC8" w:rsidP="00306FC8"/>
    <w:p w14:paraId="7545DA5E" w14:textId="77777777" w:rsidR="00306FC8" w:rsidRPr="00CA49A0" w:rsidRDefault="00306FC8" w:rsidP="00306FC8">
      <w:pPr>
        <w:jc w:val="both"/>
      </w:pPr>
      <w:r w:rsidRPr="002E4CC9">
        <w:t>HCAI and CCDF datasets consists of data collected at the individual level and includes a variety of demographic and clinical variables, but variables that we are primarily interested in are age, sex, patient zip code, and primary diagnosis</w:t>
      </w:r>
      <w:r>
        <w:t>.</w:t>
      </w:r>
      <w:r w:rsidRPr="002E4CC9">
        <w:t xml:space="preserve"> Before beginning the analysis, the data was subset by health condition and modified so that age and sex were categorized into four and two groups, respectively. The categories for age are: 00-19, 20-44, 45-64, and 65+, while the categories for sex are: female (F), male (M), and unknown (U).</w:t>
      </w:r>
      <w:r>
        <w:t xml:space="preserve"> </w:t>
      </w:r>
      <w:r w:rsidRPr="00CA49A0">
        <w:t xml:space="preserve">Although race/ethnicity data was available, it was excluded from the analysis due to </w:t>
      </w:r>
      <w:r w:rsidRPr="00D341B5">
        <w:t>small sample sizes within geographic areas</w:t>
      </w:r>
      <w:r w:rsidRPr="00CA49A0">
        <w:t xml:space="preserve">, which introduced </w:t>
      </w:r>
      <w:r w:rsidRPr="00D341B5">
        <w:t>high variability</w:t>
      </w:r>
      <w:r w:rsidRPr="00CA49A0">
        <w:t xml:space="preserve"> and </w:t>
      </w:r>
      <w:r w:rsidRPr="00D341B5">
        <w:t>uncertainty</w:t>
      </w:r>
      <w:r w:rsidRPr="00CA49A0">
        <w:t xml:space="preserve"> in the model estimates.</w:t>
      </w:r>
    </w:p>
    <w:p w14:paraId="13D73060" w14:textId="77777777" w:rsidR="00306FC8" w:rsidRPr="002E4CC9" w:rsidRDefault="00306FC8" w:rsidP="00306FC8">
      <w:pPr>
        <w:jc w:val="both"/>
      </w:pPr>
    </w:p>
    <w:p w14:paraId="41679FD4" w14:textId="77777777" w:rsidR="00306FC8" w:rsidRPr="002E4CC9" w:rsidRDefault="00306FC8" w:rsidP="00306FC8">
      <w:pPr>
        <w:jc w:val="both"/>
      </w:pPr>
      <w:r w:rsidRPr="002E4CC9">
        <w:t xml:space="preserve">The goal of the analysis is to obtain estimates for the relative risks and standardized incidence ratios of ER visits for each primary diagnosis using a spatial regression model with the R-INLA package </w:t>
      </w:r>
      <w:r w:rsidRPr="002E4CC9">
        <w:fldChar w:fldCharType="begin"/>
      </w:r>
      <w:r>
        <w:instrText xml:space="preserve"> ADDIN ZOTERO_ITEM CSL_CITATION {"citationID":"1M26Zwq7","properties":{"formattedCitation":"(Rue, Martino, and Chopin 2009)","plainCitation":"(Rue, Martino, and Chopin 2009)","noteIndex":0},"citationItems":[{"id":"WrWAMosQ/YOSCDOAe","uris":["http://zotero.org/users/2234588/items/MRRSAIK2"],"itemData":{"id":4942,"type":"article-journal","container-title":"J R Stat Soc Ser B Stat Methodol","DOI":"10.1111/j.1467-9868.2008.00700.x","journalAbbreviation":"J R Stat Soc Ser B Stat Methodol","title":"Approximate Bayesian inference for latent Gaussian models by using integrated nested Laplace approximations","URL":"https://doi.org/10.1111/j.1467-9868.2008.00700.x","volume":"71","author":[{"family":"Rue","given":"H."},{"family":"Martino","given":"S."},{"family":"Chopin","given":"N."}],"issued":{"date-parts":[["2009"]]}}}],"schema":"https://github.com/citation-style-language/schema/raw/master/csl-citation.json"} </w:instrText>
      </w:r>
      <w:r w:rsidRPr="002E4CC9">
        <w:fldChar w:fldCharType="separate"/>
      </w:r>
      <w:r>
        <w:t>(Rue, Martino, and Chopin 2009)</w:t>
      </w:r>
      <w:r w:rsidRPr="002E4CC9">
        <w:fldChar w:fldCharType="end"/>
      </w:r>
      <w:r w:rsidRPr="002E4CC9">
        <w:t xml:space="preserve">. Since our outcome (number of ER visits) is a count, we analyze our data using a Poisson regression. </w:t>
      </w:r>
    </w:p>
    <w:p w14:paraId="3F6B5066" w14:textId="77777777" w:rsidR="00306FC8" w:rsidRPr="002E4CC9" w:rsidRDefault="00306FC8" w:rsidP="00306FC8">
      <w:pPr>
        <w:jc w:val="both"/>
      </w:pPr>
    </w:p>
    <w:p w14:paraId="12F81E5E" w14:textId="77777777" w:rsidR="00306FC8" w:rsidRPr="002E4CC9" w:rsidRDefault="00306FC8" w:rsidP="00306FC8">
      <w:r w:rsidRPr="002E4CC9">
        <w:t xml:space="preserve">If we let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oMath>
      <w:r w:rsidRPr="002E4CC9">
        <w:t xml:space="preserve">represent the observed counts of ED visits in zip </w:t>
      </w:r>
      <w:proofErr w:type="gramStart"/>
      <w:r w:rsidRPr="002E4CC9">
        <w:t>code</w:t>
      </w:r>
      <w:proofErr w:type="gramEnd"/>
      <w:r w:rsidRPr="002E4CC9">
        <w:t xml:space="preserve"> </w:t>
      </w:r>
      <m:oMath>
        <m:r>
          <w:rPr>
            <w:rFonts w:ascii="Cambria Math" w:hAnsi="Cambria Math"/>
          </w:rPr>
          <m:t xml:space="preserve">i </m:t>
        </m:r>
      </m:oMath>
      <w:r w:rsidRPr="002E4CC9">
        <w:t>then our model can be specified as follows:</w:t>
      </w:r>
      <w:r w:rsidRPr="002E4CC9">
        <w:br/>
      </w:r>
    </w:p>
    <w:p w14:paraId="53B1B04C" w14:textId="77777777" w:rsidR="00306FC8" w:rsidRPr="002E4CC9" w:rsidRDefault="00306FC8" w:rsidP="00306FC8">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∼Poisson</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 i,…,n,#</m:t>
              </m:r>
              <m:d>
                <m:dPr>
                  <m:ctrlPr>
                    <w:rPr>
                      <w:rFonts w:ascii="Cambria Math" w:hAnsi="Cambria Math"/>
                      <w:i/>
                    </w:rPr>
                  </m:ctrlPr>
                </m:dPr>
                <m:e>
                  <m:r>
                    <w:rPr>
                      <w:rFonts w:ascii="Cambria Math" w:hAnsi="Cambria Math"/>
                    </w:rPr>
                    <m:t>1</m:t>
                  </m:r>
                </m:e>
              </m:d>
            </m:e>
          </m:eqArr>
        </m:oMath>
      </m:oMathPara>
    </w:p>
    <w:p w14:paraId="62C53DA2" w14:textId="77777777" w:rsidR="00306FC8" w:rsidRPr="002E4CC9" w:rsidRDefault="00306FC8" w:rsidP="00306FC8"/>
    <w:p w14:paraId="43DA4A84" w14:textId="77777777" w:rsidR="00306FC8" w:rsidRPr="002E4CC9" w:rsidRDefault="00306FC8" w:rsidP="00306FC8">
      <w:r w:rsidRPr="002E4CC9">
        <w:t xml:space="preserve">such that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Pr="002E4CC9">
        <w:t xml:space="preserve"> is the expected number of ER visits in zip code </w:t>
      </w:r>
      <m:oMath>
        <m:r>
          <w:rPr>
            <w:rFonts w:ascii="Cambria Math" w:hAnsi="Cambria Math"/>
          </w:rPr>
          <m:t xml:space="preserve">i </m:t>
        </m:r>
      </m:oMath>
      <w:r w:rsidRPr="002E4CC9">
        <w:t xml:space="preserve">and </w:t>
      </w:r>
      <m:oMath>
        <m:r>
          <w:rPr>
            <w:rFonts w:ascii="Cambria Math" w:hAnsi="Cambria Math"/>
          </w:rPr>
          <m:t>θ</m:t>
        </m:r>
      </m:oMath>
      <w:r w:rsidRPr="002E4CC9">
        <w:t xml:space="preserve"> is the relative risk in zip code </w:t>
      </w:r>
      <m:oMath>
        <m:r>
          <w:rPr>
            <w:rFonts w:ascii="Cambria Math" w:hAnsi="Cambria Math"/>
          </w:rPr>
          <m:t>i.</m:t>
        </m:r>
      </m:oMath>
      <w:r w:rsidRPr="002E4CC9">
        <w:t xml:space="preserve"> The logarithm of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Pr="002E4CC9">
        <w:t xml:space="preserve"> can be generally expressed as:</w:t>
      </w:r>
      <w:r w:rsidRPr="002E4CC9">
        <w:br/>
      </w:r>
    </w:p>
    <w:p w14:paraId="28697B8D" w14:textId="77777777" w:rsidR="00306FC8" w:rsidRPr="002E4CC9" w:rsidRDefault="00306FC8" w:rsidP="00306FC8">
      <m:oMathPara>
        <m:oMath>
          <m:eqArr>
            <m:eqArrPr>
              <m:maxDist m:val="1"/>
              <m:ctrlPr>
                <w:rPr>
                  <w:rFonts w:ascii="Cambria Math" w:hAnsi="Cambria Math"/>
                  <w:i/>
                </w:rPr>
              </m:ctrlPr>
            </m:eqArrPr>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2</m:t>
                  </m:r>
                </m:e>
              </m:d>
            </m:e>
          </m:eqArr>
        </m:oMath>
      </m:oMathPara>
    </w:p>
    <w:p w14:paraId="71B5A2A4" w14:textId="77777777" w:rsidR="00306FC8" w:rsidRPr="002E4CC9" w:rsidRDefault="00306FC8" w:rsidP="00306FC8"/>
    <w:p w14:paraId="602D6649" w14:textId="77777777" w:rsidR="00306FC8" w:rsidRDefault="00306FC8" w:rsidP="00306FC8">
      <w:pPr>
        <w:jc w:val="both"/>
      </w:pPr>
      <w:r w:rsidRPr="002E4CC9">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Pr="002E4CC9">
        <w:t xml:space="preserve"> is the intercept where and represents </w:t>
      </w:r>
      <w:r>
        <w:t>baseline log</w:t>
      </w:r>
      <w:r w:rsidRPr="002E4CC9">
        <w:t xml:space="preserve"> risk, and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Pr="002E4CC9">
        <w:t xml:space="preserve"> and </w:t>
      </w:r>
      <m:oMath>
        <m:sSub>
          <m:sSubPr>
            <m:ctrlPr>
              <w:rPr>
                <w:rFonts w:ascii="Cambria Math" w:hAnsi="Cambria Math"/>
                <w:i/>
              </w:rPr>
            </m:ctrlPr>
          </m:sSubPr>
          <m:e>
            <m:r>
              <w:rPr>
                <w:rFonts w:ascii="Cambria Math" w:hAnsi="Cambria Math"/>
              </w:rPr>
              <m:t>ν</m:t>
            </m:r>
          </m:e>
          <m:sub>
            <m:r>
              <w:rPr>
                <w:rFonts w:ascii="Cambria Math" w:hAnsi="Cambria Math"/>
              </w:rPr>
              <m:t>i</m:t>
            </m:r>
          </m:sub>
        </m:sSub>
      </m:oMath>
      <w:r w:rsidRPr="002E4CC9">
        <w:t xml:space="preserve"> represent structured and independent spatial effects, respectively. A conditionally auto-regressive (CAR) </w:t>
      </w:r>
      <w:r w:rsidRPr="002E4CC9">
        <w:fldChar w:fldCharType="begin"/>
      </w:r>
      <w:r>
        <w:instrText xml:space="preserve"> ADDIN ZOTERO_ITEM CSL_CITATION {"citationID":"1IDlzlua","properties":{"formattedCitation":"(Besag 1974)","plainCitation":"(Besag 1974)","noteIndex":0},"citationItems":[{"id":"WrWAMosQ/BdKTXWDP","uris":["http://zotero.org/users/2234588/items/NKN4RNPU"],"itemData":{"id":300,"type":"article-journal","container-title":"J1 Roy1 Statist1 Soc1 B","title":"Spatial Interaction and the Statistical Analysis of Lattice Systems (with discussion)","title-short":"Spatial Interaction and the Statistical Analysis of Lattice Systems (with discussion)","author":[{"family":"Besag","given":"Julian"}],"issued":{"date-parts":[["1974"]]}}}],"schema":"https://github.com/citation-style-language/schema/raw/master/csl-citation.json"} </w:instrText>
      </w:r>
      <w:r w:rsidRPr="002E4CC9">
        <w:fldChar w:fldCharType="separate"/>
      </w:r>
      <w:r>
        <w:t>(</w:t>
      </w:r>
      <w:proofErr w:type="spellStart"/>
      <w:r>
        <w:t>Besag</w:t>
      </w:r>
      <w:proofErr w:type="spellEnd"/>
      <w:r>
        <w:t xml:space="preserve"> 1974)</w:t>
      </w:r>
      <w:r w:rsidRPr="002E4CC9">
        <w:fldChar w:fldCharType="end"/>
      </w:r>
      <w:r w:rsidRPr="002E4CC9">
        <w:t xml:space="preserve"> distribution is used to model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Pr="002E4CC9">
        <w:t xml:space="preserve"> which is a structured spatial effect. With this, the</w:t>
      </w:r>
      <w:r>
        <w:t xml:space="preserve"> </w:t>
      </w:r>
      <w:r w:rsidRPr="002E4CC9">
        <w:t xml:space="preserve">distribution can be specified as: </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sSub>
                  <m:sSubPr>
                    <m:ctrlPr>
                      <w:rPr>
                        <w:rFonts w:ascii="Cambria Math" w:hAnsi="Cambria Math"/>
                        <w:i/>
                      </w:rPr>
                    </m:ctrlPr>
                  </m:sSubPr>
                  <m:e>
                    <m:r>
                      <w:rPr>
                        <w:rFonts w:ascii="Cambria Math" w:hAnsi="Cambria Math"/>
                      </w:rPr>
                      <m:t>δ</m:t>
                    </m:r>
                  </m:e>
                  <m:sub>
                    <m:r>
                      <w:rPr>
                        <w:rFonts w:ascii="Cambria Math" w:hAnsi="Cambria Math"/>
                      </w:rPr>
                      <m:t>i</m:t>
                    </m:r>
                  </m:sub>
                </m:sSub>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μ</m:t>
                        </m:r>
                      </m:e>
                      <m:sub>
                        <m:r>
                          <w:rPr>
                            <w:rFonts w:ascii="Cambria Math" w:hAnsi="Cambria Math"/>
                          </w:rPr>
                          <m:t>i</m:t>
                        </m:r>
                      </m:sub>
                    </m:sSub>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δ</m:t>
                        </m:r>
                      </m:e>
                      <m:sub>
                        <m:r>
                          <w:rPr>
                            <w:rFonts w:ascii="Cambria Math" w:hAnsi="Cambria Math"/>
                          </w:rPr>
                          <m:t>i</m:t>
                        </m:r>
                      </m:sub>
                    </m:sSub>
                  </m:sub>
                </m:sSub>
              </m:den>
            </m:f>
          </m:e>
        </m:d>
      </m:oMath>
      <w:r w:rsidRPr="002E4CC9">
        <w:t xml:space="preserve">.  </w:t>
      </w:r>
    </w:p>
    <w:p w14:paraId="48B9F056" w14:textId="77777777" w:rsidR="00306FC8" w:rsidRPr="002E4CC9" w:rsidRDefault="00306FC8" w:rsidP="00306FC8">
      <w:pPr>
        <w:jc w:val="both"/>
      </w:pPr>
      <w:r w:rsidRPr="002E4CC9">
        <w:t xml:space="preserve">On the other hand, </w:t>
      </w:r>
      <m:oMath>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∼N(0,</m:t>
        </m:r>
        <m:sSubSup>
          <m:sSubSupPr>
            <m:ctrlPr>
              <w:rPr>
                <w:rFonts w:ascii="Cambria Math" w:hAnsi="Cambria Math"/>
                <w:i/>
              </w:rPr>
            </m:ctrlPr>
          </m:sSubSupPr>
          <m:e>
            <m:r>
              <w:rPr>
                <w:rFonts w:ascii="Cambria Math" w:hAnsi="Cambria Math"/>
              </w:rPr>
              <m:t>σ</m:t>
            </m:r>
          </m:e>
          <m:sub>
            <m:r>
              <w:rPr>
                <w:rFonts w:ascii="Cambria Math" w:hAnsi="Cambria Math"/>
              </w:rPr>
              <m:t>ν</m:t>
            </m:r>
          </m:sub>
          <m:sup>
            <m:r>
              <w:rPr>
                <w:rFonts w:ascii="Cambria Math" w:hAnsi="Cambria Math"/>
              </w:rPr>
              <m:t>2</m:t>
            </m:r>
          </m:sup>
        </m:sSubSup>
        <m:r>
          <w:rPr>
            <w:rFonts w:ascii="Cambria Math" w:hAnsi="Cambria Math"/>
          </w:rPr>
          <m:t>)</m:t>
        </m:r>
      </m:oMath>
      <w:r>
        <w:t xml:space="preserve"> </w:t>
      </w:r>
      <w:r w:rsidRPr="002E4CC9">
        <w:t xml:space="preserve">is the unstructured spatial effect, often known as the error term. Finally, the relative risk,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Pr="002E4CC9">
        <w:t xml:space="preserve"> is used to determine if the risk of ER visit is higher </w:t>
      </w:r>
      <m:oMath>
        <m:r>
          <w:rPr>
            <w:rFonts w:ascii="Cambria Math" w:hAnsi="Cambria Math"/>
          </w:rPr>
          <m:t xml:space="preserve">θ&gt;1 </m:t>
        </m:r>
      </m:oMath>
      <w:r w:rsidRPr="002E4CC9">
        <w:t xml:space="preserve">(or lower) in zip code </w:t>
      </w:r>
      <m:oMath>
        <m:r>
          <w:rPr>
            <w:rFonts w:ascii="Cambria Math" w:hAnsi="Cambria Math"/>
          </w:rPr>
          <m:t xml:space="preserve">i </m:t>
        </m:r>
      </m:oMath>
      <w:r w:rsidRPr="002E4CC9">
        <w:t xml:space="preserve">when compared to the average risk in the reference population. Note that the probability </w:t>
      </w:r>
      <m:oMath>
        <m:r>
          <w:rPr>
            <w:rFonts w:ascii="Cambria Math" w:hAnsi="Cambria Math"/>
          </w:rPr>
          <m:t>p=</m:t>
        </m:r>
        <m:r>
          <m:rPr>
            <m:sty m:val="p"/>
          </m:rPr>
          <w:rPr>
            <w:rFonts w:ascii="Cambria Math" w:hAnsi="Cambria Math"/>
          </w:rPr>
          <m:t>Pr⁡</m:t>
        </m:r>
        <m:r>
          <w:rPr>
            <w:rFonts w:ascii="Cambria Math" w:hAnsi="Cambria Math"/>
          </w:rPr>
          <m:t>(θ&gt;1)</m:t>
        </m:r>
      </m:oMath>
      <w:r w:rsidRPr="002E4CC9">
        <w:t xml:space="preserve"> denotes the exceedance probability mentioned above and is an important measure of uncertainty. In our study, we have defined two reference groups, which yield two separate sets of relative risks and SIRs. These reference groups are further explained in the following subsections. </w:t>
      </w:r>
    </w:p>
    <w:p w14:paraId="2045E9B6" w14:textId="77777777" w:rsidR="00306FC8" w:rsidRPr="002E4CC9" w:rsidRDefault="00306FC8" w:rsidP="00306FC8"/>
    <w:p w14:paraId="3523B61F" w14:textId="77777777" w:rsidR="00306FC8" w:rsidRPr="002E4CC9" w:rsidRDefault="00306FC8" w:rsidP="00306FC8">
      <w:pPr>
        <w:jc w:val="both"/>
      </w:pPr>
      <w:r w:rsidRPr="002E4CC9">
        <w:rPr>
          <w:b/>
          <w:bCs/>
        </w:rPr>
        <w:t xml:space="preserve">Reference Group 1. </w:t>
      </w:r>
      <w:r w:rsidRPr="002E4CC9">
        <w:t>The “Healthy Places Index" (HPI), is a metric developed by the Public</w:t>
      </w:r>
      <w:r>
        <w:t xml:space="preserve"> Health Alliance of Southern California (PHASC) to measure the healthiness of various neighborhoods and communities (</w:t>
      </w:r>
      <w:r w:rsidRPr="00F443F7">
        <w:t>https://www.healthyplacesindex.org/</w:t>
      </w:r>
      <w:r>
        <w:t xml:space="preserve">). </w:t>
      </w:r>
      <w:r w:rsidRPr="00BC66E1">
        <w:t xml:space="preserve">The </w:t>
      </w:r>
      <w:r>
        <w:t>HPI</w:t>
      </w:r>
      <w:r w:rsidRPr="00BC66E1">
        <w:t xml:space="preserve"> defines a healthy community as one that provides residents with access to quality education, good jobs, safe housing, clean air and water, healthcare, and strong social support using 25 indicators across these areas. </w:t>
      </w:r>
      <w:r>
        <w:t xml:space="preserve">In our study, the HPI scores provided in the PHASC's public database were used to define the reference group in our first set of relative risk and SIR calculations. To begin, the HPI scores for every zip code in California obtained from the PHASC database were merged with the HCAI dataset by zip code. Next, the merged dataset was filtered using a pre-selected HPI cutoff value to identify the zip codes with “heathy” communities, defined as the top 25% of the HPI. The quantiles selected to define a “healthy” community have been frequently used in epidemiological studies and was selected after extensive consultation with the AIRE collaborative, community members, and agency partners. </w:t>
      </w:r>
      <w:r w:rsidRPr="00BC66E1">
        <w:t>The higher the HPI score, the healthier the community.</w:t>
      </w:r>
      <w:r>
        <w:t xml:space="preserve"> We then divided the total number of observed ER visits in each age/sex category by the total number of individuals </w:t>
      </w:r>
      <w:r>
        <w:lastRenderedPageBreak/>
        <w:t xml:space="preserve">belonging to that age/sex category in the population, which was estimated using the American Community Survey (ACS) census data. This calculation provided the expected ER visit rate for each age/sex combination in a healthy population. Using these rates, the expected number of cases was calculated for each zip/age/sex combination. The total number of observed ER visits in each zip code was then divided by total number of expected ER visits in the same area. </w:t>
      </w:r>
    </w:p>
    <w:p w14:paraId="360E9648" w14:textId="77777777" w:rsidR="00306FC8" w:rsidRPr="002E4CC9" w:rsidRDefault="00306FC8" w:rsidP="00306FC8">
      <w:pPr>
        <w:jc w:val="both"/>
      </w:pPr>
    </w:p>
    <w:p w14:paraId="68A82BE2" w14:textId="77777777" w:rsidR="00306FC8" w:rsidRPr="002E4CC9" w:rsidRDefault="00306FC8" w:rsidP="00306FC8">
      <w:r w:rsidRPr="002E4CC9">
        <w:t xml:space="preserve">In other words, the SIR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Pr="002E4CC9">
        <w:t xml:space="preserve"> zip code was calculated as follows:</w:t>
      </w:r>
      <w:r w:rsidRPr="002E4CC9">
        <w:br/>
      </w:r>
    </w:p>
    <w:p w14:paraId="16A8743E" w14:textId="77777777" w:rsidR="00306FC8" w:rsidRPr="002E4CC9" w:rsidRDefault="00306FC8" w:rsidP="00306FC8">
      <w:pPr>
        <w:rPr>
          <w:iCs/>
        </w:rPr>
      </w:pPr>
      <m:oMathPara>
        <m:oMath>
          <m:eqArr>
            <m:eqArrPr>
              <m:maxDist m:val="1"/>
              <m:ctrlPr>
                <w:rPr>
                  <w:rFonts w:ascii="Cambria Math" w:hAnsi="Cambria Math"/>
                  <w:i/>
                  <w:iCs/>
                </w:rPr>
              </m:ctrlPr>
            </m:eqArrPr>
            <m:e>
              <m:r>
                <m:rPr>
                  <m:sty m:val="p"/>
                </m:rPr>
                <w:rPr>
                  <w:rFonts w:ascii="Cambria Math" w:hAnsi="Cambria Math"/>
                </w:rPr>
                <m:t>SI</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m:t>
              </m:r>
              <m:f>
                <m:fPr>
                  <m:ctrlPr>
                    <w:rPr>
                      <w:rFonts w:ascii="Cambria Math" w:hAnsi="Cambria Math"/>
                      <w:iCs/>
                    </w:rPr>
                  </m:ctrlPr>
                </m:fPr>
                <m:num>
                  <m:r>
                    <m:rPr>
                      <m:sty m:val="p"/>
                    </m:rPr>
                    <w:rPr>
                      <w:rFonts w:ascii="Cambria Math" w:hAnsi="Cambria Math"/>
                    </w:rPr>
                    <m:t xml:space="preserve">Observed ED </m:t>
                  </m:r>
                  <m:sSub>
                    <m:sSubPr>
                      <m:ctrlPr>
                        <w:rPr>
                          <w:rFonts w:ascii="Cambria Math" w:hAnsi="Cambria Math"/>
                          <w:iCs/>
                        </w:rPr>
                      </m:ctrlPr>
                    </m:sSubPr>
                    <m:e>
                      <m:r>
                        <m:rPr>
                          <m:sty m:val="p"/>
                        </m:rPr>
                        <w:rPr>
                          <w:rFonts w:ascii="Cambria Math" w:hAnsi="Cambria Math"/>
                        </w:rPr>
                        <m:t>Visits</m:t>
                      </m:r>
                    </m:e>
                    <m:sub>
                      <m:r>
                        <w:rPr>
                          <w:rFonts w:ascii="Cambria Math" w:hAnsi="Cambria Math"/>
                        </w:rPr>
                        <m:t>i</m:t>
                      </m:r>
                    </m:sub>
                  </m:sSub>
                </m:num>
                <m:den>
                  <m:r>
                    <m:rPr>
                      <m:sty m:val="p"/>
                    </m:rPr>
                    <w:rPr>
                      <w:rFonts w:ascii="Cambria Math" w:hAnsi="Cambria Math"/>
                    </w:rPr>
                    <m:t xml:space="preserve">Expected ED </m:t>
                  </m:r>
                  <m:sSub>
                    <m:sSubPr>
                      <m:ctrlPr>
                        <w:rPr>
                          <w:rFonts w:ascii="Cambria Math" w:hAnsi="Cambria Math"/>
                        </w:rPr>
                      </m:ctrlPr>
                    </m:sSubPr>
                    <m:e>
                      <m:r>
                        <m:rPr>
                          <m:sty m:val="p"/>
                        </m:rPr>
                        <w:rPr>
                          <w:rFonts w:ascii="Cambria Math" w:hAnsi="Cambria Math"/>
                        </w:rPr>
                        <m:t>Vists</m:t>
                      </m:r>
                    </m:e>
                    <m:sub>
                      <m:r>
                        <m:rPr>
                          <m:sty m:val="p"/>
                        </m:rPr>
                        <w:rPr>
                          <w:rFonts w:ascii="Cambria Math" w:hAnsi="Cambria Math"/>
                        </w:rPr>
                        <m:t>i</m:t>
                      </m:r>
                    </m:sub>
                  </m:sSub>
                </m:den>
              </m:f>
              <m:r>
                <w:rPr>
                  <w:rFonts w:ascii="Cambria Math" w:hAnsi="Cambria Math"/>
                </w:rPr>
                <m:t>,#</m:t>
              </m:r>
              <m:d>
                <m:dPr>
                  <m:ctrlPr>
                    <w:rPr>
                      <w:rFonts w:ascii="Cambria Math" w:hAnsi="Cambria Math"/>
                      <w:i/>
                      <w:iCs/>
                    </w:rPr>
                  </m:ctrlPr>
                </m:dPr>
                <m:e>
                  <m:r>
                    <w:rPr>
                      <w:rFonts w:ascii="Cambria Math" w:hAnsi="Cambria Math"/>
                    </w:rPr>
                    <m:t>3</m:t>
                  </m:r>
                </m:e>
              </m:d>
            </m:e>
          </m:eqArr>
        </m:oMath>
      </m:oMathPara>
    </w:p>
    <w:p w14:paraId="57801AA8" w14:textId="77777777" w:rsidR="00306FC8" w:rsidRPr="002E4CC9" w:rsidRDefault="00306FC8" w:rsidP="00306FC8">
      <w:pPr>
        <w:rPr>
          <w:iCs/>
        </w:rPr>
      </w:pPr>
    </w:p>
    <w:p w14:paraId="688B7858" w14:textId="77777777" w:rsidR="00306FC8" w:rsidRPr="002E4CC9" w:rsidRDefault="00306FC8" w:rsidP="00306FC8">
      <w:pPr>
        <w:jc w:val="both"/>
      </w:pPr>
      <w:r w:rsidRPr="002E4CC9">
        <w:t xml:space="preserve">where </w:t>
      </w:r>
      <m:oMath>
        <m:r>
          <m:rPr>
            <m:sty m:val="p"/>
          </m:rPr>
          <w:rPr>
            <w:rFonts w:ascii="Cambria Math" w:hAnsi="Cambria Math"/>
          </w:rPr>
          <m:t>Oberved ER Visits</m:t>
        </m:r>
        <m:sSub>
          <m:sSubPr>
            <m:ctrlPr>
              <w:rPr>
                <w:rFonts w:ascii="Cambria Math" w:hAnsi="Cambria Math"/>
                <w:iCs/>
              </w:rPr>
            </m:ctrlPr>
          </m:sSubPr>
          <m:e>
            <m:r>
              <m:rPr>
                <m:sty m:val="p"/>
              </m:rPr>
              <w:rPr>
                <w:rFonts w:ascii="Cambria Math" w:hAnsi="Cambria Math"/>
              </w:rPr>
              <w:softHyphen/>
            </m:r>
          </m:e>
          <m:sub>
            <m:r>
              <m:rPr>
                <m:sty m:val="p"/>
              </m:rPr>
              <w:rPr>
                <w:rFonts w:ascii="Cambria Math" w:hAnsi="Cambria Math"/>
              </w:rPr>
              <m:t>i</m:t>
            </m:r>
          </m:sub>
        </m:sSub>
        <m:r>
          <w:rPr>
            <w:rFonts w:ascii="Cambria Math" w:hAnsi="Cambria Math"/>
          </w:rPr>
          <m:t xml:space="preserve"> </m:t>
        </m:r>
      </m:oMath>
      <w:r w:rsidRPr="002E4CC9">
        <w:t xml:space="preserve">is the total number of observed ER visits in zip code </w:t>
      </w:r>
      <m:oMath>
        <m:r>
          <w:rPr>
            <w:rFonts w:ascii="Cambria Math" w:hAnsi="Cambria Math"/>
          </w:rPr>
          <m:t xml:space="preserve">i </m:t>
        </m:r>
      </m:oMath>
      <w:r w:rsidRPr="002E4CC9">
        <w:t xml:space="preserve">and </w:t>
      </w:r>
      <m:oMath>
        <m:r>
          <m:rPr>
            <m:sty m:val="p"/>
          </m:rPr>
          <w:rPr>
            <w:rFonts w:ascii="Cambria Math" w:hAnsi="Cambria Math"/>
          </w:rPr>
          <m:t xml:space="preserve">Expected ER </m:t>
        </m:r>
        <m:sSub>
          <m:sSubPr>
            <m:ctrlPr>
              <w:rPr>
                <w:rFonts w:ascii="Cambria Math" w:hAnsi="Cambria Math"/>
                <w:iCs/>
              </w:rPr>
            </m:ctrlPr>
          </m:sSubPr>
          <m:e>
            <m:r>
              <m:rPr>
                <m:sty m:val="p"/>
              </m:rPr>
              <w:rPr>
                <w:rFonts w:ascii="Cambria Math" w:hAnsi="Cambria Math"/>
              </w:rPr>
              <m:t>Visits</m:t>
            </m:r>
          </m:e>
          <m:sub>
            <m:r>
              <m:rPr>
                <m:sty m:val="p"/>
              </m:rPr>
              <w:rPr>
                <w:rFonts w:ascii="Cambria Math" w:hAnsi="Cambria Math"/>
              </w:rPr>
              <m:t>i</m:t>
            </m:r>
          </m:sub>
        </m:sSub>
      </m:oMath>
      <w:r w:rsidRPr="002E4CC9">
        <w:t xml:space="preserve"> is the expected number of ER visits in zip code </w:t>
      </w:r>
      <m:oMath>
        <m:r>
          <w:rPr>
            <w:rFonts w:ascii="Cambria Math" w:hAnsi="Cambria Math"/>
          </w:rPr>
          <m:t>i,</m:t>
        </m:r>
      </m:oMath>
      <w:r w:rsidRPr="002E4CC9">
        <w:t xml:space="preserve"> calculated based on the assumption that the zip code has the same average rate of ER visits as zip codes with an HPI score above the cutoff. To calculate the relative risks, we supplied R with the expected counts calculated for each zip code, and the neighborhood matrix needed to define the spatial random effects. The “</w:t>
      </w:r>
      <w:proofErr w:type="spellStart"/>
      <w:r w:rsidRPr="002E4CC9">
        <w:t>inla</w:t>
      </w:r>
      <w:proofErr w:type="spellEnd"/>
      <w:r w:rsidRPr="002E4CC9">
        <w:t>” function within the R-INLA package was then used to compute the posterior estimates of the relative risks for each zip code.</w:t>
      </w:r>
      <w:r w:rsidRPr="002A4EB8">
        <w:rPr>
          <w:rStyle w:val="CommentReference"/>
        </w:rPr>
        <w:t xml:space="preserve"> </w:t>
      </w:r>
    </w:p>
    <w:p w14:paraId="4994B597" w14:textId="77777777" w:rsidR="00306FC8" w:rsidRPr="002E4CC9" w:rsidRDefault="00306FC8" w:rsidP="00306FC8">
      <w:pPr>
        <w:jc w:val="both"/>
      </w:pPr>
    </w:p>
    <w:p w14:paraId="690731BA" w14:textId="77777777" w:rsidR="00306FC8" w:rsidRPr="002E4CC9" w:rsidRDefault="00306FC8" w:rsidP="00306FC8">
      <w:pPr>
        <w:jc w:val="both"/>
      </w:pPr>
      <w:r w:rsidRPr="002E4CC9">
        <w:rPr>
          <w:b/>
          <w:bCs/>
        </w:rPr>
        <w:t xml:space="preserve">Reference Group 2 </w:t>
      </w:r>
      <w:r w:rsidRPr="002E4CC9">
        <w:t xml:space="preserve">The reference group in our second set of relative risk and SIR calculations was determined using the expected number of ER visits in as the statewide population, after adjusting for age and sex. The expected rate was calculated by dividing the total number of observed ER visits in each age/sex category by the total number of individuals belonging to that age/sex category in the population, as estimated using the ACS census data. With this expected rate, we then calculated expected number of cases for each zip/age/sex combination. Subsequently, we divided the total number of observed ER visits in each zip code by the expected number of ER visits in the same zip code, yielding the SIR for the </w:t>
      </w:r>
      <m:oMath>
        <m:sSup>
          <m:sSupPr>
            <m:ctrlPr>
              <w:rPr>
                <w:rFonts w:ascii="Cambria Math" w:hAnsi="Cambria Math"/>
                <w:i/>
              </w:rPr>
            </m:ctrlPr>
          </m:sSupPr>
          <m:e>
            <m:r>
              <w:rPr>
                <w:rFonts w:ascii="Cambria Math" w:hAnsi="Cambria Math"/>
              </w:rPr>
              <m:t>i</m:t>
            </m:r>
          </m:e>
          <m:sup>
            <m:r>
              <w:rPr>
                <w:rFonts w:ascii="Cambria Math" w:hAnsi="Cambria Math"/>
              </w:rPr>
              <m:t>th</m:t>
            </m:r>
          </m:sup>
        </m:sSup>
        <m:r>
          <w:rPr>
            <w:rFonts w:ascii="Cambria Math" w:hAnsi="Cambria Math"/>
          </w:rPr>
          <m:t xml:space="preserve"> </m:t>
        </m:r>
      </m:oMath>
      <w:r w:rsidRPr="002E4CC9">
        <w:t xml:space="preserve">zip code. Mathematically, the formula for </w:t>
      </w:r>
      <m:oMath>
        <m:sSub>
          <m:sSubPr>
            <m:ctrlPr>
              <w:rPr>
                <w:rFonts w:ascii="Cambria Math" w:hAnsi="Cambria Math"/>
                <w:i/>
              </w:rPr>
            </m:ctrlPr>
          </m:sSubPr>
          <m:e>
            <m:r>
              <m:rPr>
                <m:sty m:val="p"/>
              </m:rPr>
              <w:rPr>
                <w:rFonts w:ascii="Cambria Math" w:hAnsi="Cambria Math"/>
              </w:rPr>
              <m:t>SIR</m:t>
            </m:r>
            <m:ctrlPr>
              <w:rPr>
                <w:rFonts w:ascii="Cambria Math" w:hAnsi="Cambria Math"/>
                <w:iCs/>
              </w:rPr>
            </m:ctrlPr>
          </m:e>
          <m:sub>
            <m:r>
              <w:rPr>
                <w:rFonts w:ascii="Cambria Math" w:hAnsi="Cambria Math"/>
              </w:rPr>
              <m:t>i</m:t>
            </m:r>
          </m:sub>
        </m:sSub>
        <m:r>
          <w:rPr>
            <w:rFonts w:ascii="Cambria Math" w:hAnsi="Cambria Math"/>
          </w:rPr>
          <m:t xml:space="preserve"> </m:t>
        </m:r>
      </m:oMath>
      <w:r w:rsidRPr="002E4CC9">
        <w:t xml:space="preserve">remains the same as described in </w:t>
      </w:r>
      <w:r w:rsidRPr="002E4CC9">
        <w:fldChar w:fldCharType="begin"/>
      </w:r>
      <w:r>
        <w:instrText xml:space="preserve"> ADDIN ZOTERO_ITEM CSL_CITATION {"citationID":"5dRiZ0CU","properties":{"formattedCitation":"(Becher and Winkler 2017)","plainCitation":"(Becher and Winkler 2017)","noteIndex":0},"citationItems":[{"id":"WrWAMosQ/bcLbP1He","uris":["http://zotero.org/users/2234588/items/FGAVEM3L"],"itemData":{"id":5587,"type":"article-journal","abstract":"Background\nA standard parameter to compare the disease incidence of a cohort relative to the population is the standardized incidence ratio (SIR). For statistical inference is commonly assumed that the denominator, the expected number of cases, is fixed. If a disease registry is available, incident cases can sometimes be identified by linkage with the registry, however, registries may not contain information on migration or death from other causes. A complete follow-up with a population registry may not be possible. In that case, end-of-follow-up date and therefore, exact person-years of observation are unknown.\n\nMethods\nWe have developed a method to estimate the observation times and to derive the expected number of cases using population data on mortality and migration rates. We investigate the impact of the underlying assumptions with a sensitivity analysis.\n\nResults\nThe method provides a useful estimate of the SIR. We illustrate the method with a numerical example, a simulation study and with a study on standardized cancer incidence ratios in a cohort of migrants relative to the German population. We show that the additional variance induced by the estimation method is small, so that standard methods for inference can be applied.\n\nConclusions\nEstimation of the observation time is possible for cohort studies with incomplete follow-up.\n\nElectronic supplementary material\nThe online version of this article (doi:10.1186/s12874-017-0335-3) contains supplementary material, which is available to authorized users.","container-title":"BMC Medical Research Methodology","DOI":"10.1186/s12874-017-0335-3","ISSN":"1471-2288","journalAbbreviation":"BMC Med Res Methodol","note":"PMID: 28403811\nPMCID: PMC5389158","page":"55","source":"PubMed Central","title":"Estimating the standardized incidence ratio (SIR) with incomplete follow-up data","volume":"17","author":[{"family":"Becher","given":"Heiko"},{"family":"Winkler","given":"Volker"}],"issued":{"date-parts":[["2017",4,12]]}}}],"schema":"https://github.com/citation-style-language/schema/raw/master/csl-citation.json"} </w:instrText>
      </w:r>
      <w:r w:rsidRPr="002E4CC9">
        <w:fldChar w:fldCharType="separate"/>
      </w:r>
      <w:r>
        <w:t>(Becher and Winkler 2017)</w:t>
      </w:r>
      <w:r w:rsidRPr="002E4CC9">
        <w:fldChar w:fldCharType="end"/>
      </w:r>
      <w:r w:rsidRPr="002E4CC9">
        <w:t xml:space="preserve">, but with Expected ER </w:t>
      </w:r>
      <m:oMath>
        <m:sSub>
          <m:sSubPr>
            <m:ctrlPr>
              <w:rPr>
                <w:rFonts w:ascii="Cambria Math" w:hAnsi="Cambria Math"/>
                <w:iCs/>
              </w:rPr>
            </m:ctrlPr>
          </m:sSubPr>
          <m:e>
            <m:r>
              <m:rPr>
                <m:sty m:val="p"/>
              </m:rPr>
              <w:rPr>
                <w:rFonts w:ascii="Cambria Math" w:hAnsi="Cambria Math"/>
              </w:rPr>
              <m:t>Visits</m:t>
            </m:r>
          </m:e>
          <m:sub>
            <m:r>
              <m:rPr>
                <m:sty m:val="p"/>
              </m:rPr>
              <w:rPr>
                <w:rFonts w:ascii="Cambria Math" w:hAnsi="Cambria Math"/>
              </w:rPr>
              <m:t>i</m:t>
            </m:r>
          </m:sub>
        </m:sSub>
        <m:r>
          <w:rPr>
            <w:rFonts w:ascii="Cambria Math" w:hAnsi="Cambria Math"/>
          </w:rPr>
          <m:t xml:space="preserve"> </m:t>
        </m:r>
      </m:oMath>
      <w:r w:rsidRPr="002E4CC9">
        <w:t xml:space="preserve">representing the expected number of ER visits in zip code </w:t>
      </w:r>
      <m:oMath>
        <m:r>
          <w:rPr>
            <w:rFonts w:ascii="Cambria Math" w:hAnsi="Cambria Math"/>
          </w:rPr>
          <m:t>i</m:t>
        </m:r>
      </m:oMath>
      <w:r w:rsidRPr="002E4CC9">
        <w:t>, calculated under the assumption that the zip code has the same average rate of ER visits as zip codes across the rest of California. The relative risks in this version were calculated using the same methods, with the sole variation being the calculation of expected counts for each zip code, which were determined using the reference group defined in this section.</w:t>
      </w:r>
    </w:p>
    <w:p w14:paraId="52F6A3F1" w14:textId="77777777" w:rsidR="00D179CF" w:rsidRDefault="00D179CF"/>
    <w:p w14:paraId="641C4587" w14:textId="77777777" w:rsidR="00306FC8" w:rsidRPr="00306FC8" w:rsidRDefault="00306FC8" w:rsidP="00306FC8">
      <w:pPr>
        <w:jc w:val="both"/>
        <w:rPr>
          <w:rFonts w:ascii="Times New Roman" w:eastAsia="Times New Roman" w:hAnsi="Times New Roman" w:cs="Times New Roman"/>
          <w:kern w:val="0"/>
          <w14:ligatures w14:val="none"/>
        </w:rPr>
      </w:pPr>
      <w:r w:rsidRPr="00306FC8">
        <w:rPr>
          <w:rFonts w:ascii="Aptos" w:eastAsia="Times New Roman" w:hAnsi="Aptos" w:cs="Times New Roman"/>
          <w:b/>
          <w:bCs/>
          <w:color w:val="000000"/>
          <w:kern w:val="0"/>
          <w14:ligatures w14:val="none"/>
        </w:rPr>
        <w:t xml:space="preserve">Conclusion: </w:t>
      </w:r>
      <w:r w:rsidRPr="00306FC8">
        <w:rPr>
          <w:rFonts w:ascii="Aptos" w:eastAsia="Times New Roman" w:hAnsi="Aptos" w:cs="Times New Roman"/>
          <w:color w:val="000000"/>
          <w:kern w:val="0"/>
          <w14:ligatures w14:val="none"/>
        </w:rPr>
        <w:t>It is important to recognize that the SIRs are effectively point estimates of the relative risks, but they do not benefit from advanced modeling constructs such as spatial smoothing and measures of uncertainty. These techniques have been appropriately applied in the estimation of the relative risks, allowing for a nuanced understanding of risk that accounts for spatial variation and uncertainty. We hope this clarification emphasizes the distinction between the SIRs and relative risks and the benefits of using relative risks in spatial modeling.</w:t>
      </w:r>
    </w:p>
    <w:p w14:paraId="2BA44128" w14:textId="77777777" w:rsidR="00306FC8" w:rsidRPr="00306FC8" w:rsidRDefault="00306FC8" w:rsidP="00306FC8">
      <w:pPr>
        <w:rPr>
          <w:rFonts w:ascii="Times New Roman" w:eastAsia="Times New Roman" w:hAnsi="Times New Roman" w:cs="Times New Roman"/>
          <w:kern w:val="0"/>
          <w14:ligatures w14:val="none"/>
        </w:rPr>
      </w:pPr>
      <w:r w:rsidRPr="00306FC8">
        <w:rPr>
          <w:rFonts w:ascii="Times New Roman" w:eastAsia="Times New Roman" w:hAnsi="Times New Roman" w:cs="Times New Roman"/>
          <w:kern w:val="0"/>
          <w14:ligatures w14:val="none"/>
        </w:rPr>
        <w:lastRenderedPageBreak/>
        <w:br/>
      </w:r>
      <w:r w:rsidRPr="00306FC8">
        <w:rPr>
          <w:rFonts w:ascii="Aptos" w:eastAsia="Times New Roman" w:hAnsi="Aptos" w:cs="Times New Roman"/>
          <w:color w:val="000000"/>
          <w:kern w:val="0"/>
          <w14:ligatures w14:val="none"/>
        </w:rPr>
        <w:br/>
      </w:r>
    </w:p>
    <w:p w14:paraId="576471B3" w14:textId="77777777" w:rsidR="00306FC8" w:rsidRPr="00306FC8" w:rsidRDefault="00306FC8" w:rsidP="00306FC8">
      <w:pPr>
        <w:rPr>
          <w:rFonts w:ascii="Times New Roman" w:eastAsia="Times New Roman" w:hAnsi="Times New Roman" w:cs="Times New Roman"/>
          <w:kern w:val="0"/>
          <w14:ligatures w14:val="none"/>
        </w:rPr>
      </w:pPr>
      <w:r w:rsidRPr="00306FC8">
        <w:rPr>
          <w:rFonts w:ascii="Aptos" w:eastAsia="Times New Roman" w:hAnsi="Aptos" w:cs="Times New Roman"/>
          <w:b/>
          <w:bCs/>
          <w:color w:val="000000"/>
          <w:kern w:val="0"/>
          <w14:ligatures w14:val="none"/>
        </w:rPr>
        <w:t>References:</w:t>
      </w:r>
      <w:r w:rsidRPr="00306FC8">
        <w:rPr>
          <w:rFonts w:ascii="Aptos" w:eastAsia="Times New Roman" w:hAnsi="Aptos" w:cs="Times New Roman"/>
          <w:b/>
          <w:bCs/>
          <w:color w:val="000000"/>
          <w:kern w:val="0"/>
          <w14:ligatures w14:val="none"/>
        </w:rPr>
        <w:br/>
      </w:r>
      <w:r w:rsidRPr="00306FC8">
        <w:rPr>
          <w:rFonts w:ascii="Aptos" w:eastAsia="Times New Roman" w:hAnsi="Aptos" w:cs="Times New Roman"/>
          <w:b/>
          <w:bCs/>
          <w:color w:val="000000"/>
          <w:kern w:val="0"/>
          <w14:ligatures w14:val="none"/>
        </w:rPr>
        <w:br/>
      </w:r>
    </w:p>
    <w:p w14:paraId="436AB585" w14:textId="77777777" w:rsidR="00306FC8" w:rsidRPr="00306FC8" w:rsidRDefault="00306FC8" w:rsidP="00306FC8">
      <w:pPr>
        <w:ind w:hanging="720"/>
        <w:rPr>
          <w:rFonts w:ascii="Times New Roman" w:eastAsia="Times New Roman" w:hAnsi="Times New Roman" w:cs="Times New Roman"/>
          <w:kern w:val="0"/>
          <w14:ligatures w14:val="none"/>
        </w:rPr>
      </w:pPr>
      <w:r w:rsidRPr="00306FC8">
        <w:rPr>
          <w:rFonts w:ascii="Aptos" w:eastAsia="Times New Roman" w:hAnsi="Aptos" w:cs="Times New Roman"/>
          <w:color w:val="000000"/>
          <w:kern w:val="0"/>
          <w14:ligatures w14:val="none"/>
        </w:rPr>
        <w:t xml:space="preserve">Becher, Heiko, and Volker Winkler. 2017. “Estimating the Standardized Incidence Ratio (SIR) with Incomplete Follow-up Data.” </w:t>
      </w:r>
      <w:r w:rsidRPr="00306FC8">
        <w:rPr>
          <w:rFonts w:ascii="Aptos" w:eastAsia="Times New Roman" w:hAnsi="Aptos" w:cs="Times New Roman"/>
          <w:i/>
          <w:iCs/>
          <w:color w:val="000000"/>
          <w:kern w:val="0"/>
          <w14:ligatures w14:val="none"/>
        </w:rPr>
        <w:t>BMC Medical Research Methodology</w:t>
      </w:r>
      <w:r w:rsidRPr="00306FC8">
        <w:rPr>
          <w:rFonts w:ascii="Aptos" w:eastAsia="Times New Roman" w:hAnsi="Aptos" w:cs="Times New Roman"/>
          <w:color w:val="000000"/>
          <w:kern w:val="0"/>
          <w14:ligatures w14:val="none"/>
        </w:rPr>
        <w:t xml:space="preserve"> 17 (April):55. https://doi.org/10.1186/s12874-017-0335-3.</w:t>
      </w:r>
    </w:p>
    <w:p w14:paraId="6FC292D2" w14:textId="77777777" w:rsidR="00306FC8" w:rsidRPr="00306FC8" w:rsidRDefault="00306FC8" w:rsidP="00306FC8">
      <w:pPr>
        <w:ind w:hanging="720"/>
        <w:rPr>
          <w:rFonts w:ascii="Times New Roman" w:eastAsia="Times New Roman" w:hAnsi="Times New Roman" w:cs="Times New Roman"/>
          <w:kern w:val="0"/>
          <w14:ligatures w14:val="none"/>
        </w:rPr>
      </w:pPr>
      <w:proofErr w:type="spellStart"/>
      <w:r w:rsidRPr="00306FC8">
        <w:rPr>
          <w:rFonts w:ascii="Aptos" w:eastAsia="Times New Roman" w:hAnsi="Aptos" w:cs="Times New Roman"/>
          <w:color w:val="000000"/>
          <w:kern w:val="0"/>
          <w14:ligatures w14:val="none"/>
        </w:rPr>
        <w:t>Besag</w:t>
      </w:r>
      <w:proofErr w:type="spellEnd"/>
      <w:r w:rsidRPr="00306FC8">
        <w:rPr>
          <w:rFonts w:ascii="Aptos" w:eastAsia="Times New Roman" w:hAnsi="Aptos" w:cs="Times New Roman"/>
          <w:color w:val="000000"/>
          <w:kern w:val="0"/>
          <w14:ligatures w14:val="none"/>
        </w:rPr>
        <w:t xml:space="preserve">, Julian. 1974. “Spatial Interaction and the Statistical Analysis of Lattice Systems (with Discussion).” </w:t>
      </w:r>
      <w:r w:rsidRPr="00306FC8">
        <w:rPr>
          <w:rFonts w:ascii="Aptos" w:eastAsia="Times New Roman" w:hAnsi="Aptos" w:cs="Times New Roman"/>
          <w:i/>
          <w:iCs/>
          <w:color w:val="000000"/>
          <w:kern w:val="0"/>
          <w14:ligatures w14:val="none"/>
        </w:rPr>
        <w:t>J1 Roy1 Statist1 Soc1 B</w:t>
      </w:r>
      <w:r w:rsidRPr="00306FC8">
        <w:rPr>
          <w:rFonts w:ascii="Aptos" w:eastAsia="Times New Roman" w:hAnsi="Aptos" w:cs="Times New Roman"/>
          <w:color w:val="000000"/>
          <w:kern w:val="0"/>
          <w14:ligatures w14:val="none"/>
        </w:rPr>
        <w:t>.</w:t>
      </w:r>
    </w:p>
    <w:p w14:paraId="16876486" w14:textId="77777777" w:rsidR="00306FC8" w:rsidRPr="00306FC8" w:rsidRDefault="00306FC8" w:rsidP="00306FC8">
      <w:pPr>
        <w:ind w:hanging="720"/>
        <w:rPr>
          <w:rFonts w:ascii="Times New Roman" w:eastAsia="Times New Roman" w:hAnsi="Times New Roman" w:cs="Times New Roman"/>
          <w:kern w:val="0"/>
          <w14:ligatures w14:val="none"/>
        </w:rPr>
      </w:pPr>
      <w:r w:rsidRPr="00306FC8">
        <w:rPr>
          <w:rFonts w:ascii="Aptos" w:eastAsia="Times New Roman" w:hAnsi="Aptos" w:cs="Times New Roman"/>
          <w:color w:val="000000"/>
          <w:kern w:val="0"/>
          <w14:ligatures w14:val="none"/>
        </w:rPr>
        <w:t xml:space="preserve">Elliott, Paul, and Daniel </w:t>
      </w:r>
      <w:proofErr w:type="spellStart"/>
      <w:r w:rsidRPr="00306FC8">
        <w:rPr>
          <w:rFonts w:ascii="Aptos" w:eastAsia="Times New Roman" w:hAnsi="Aptos" w:cs="Times New Roman"/>
          <w:color w:val="000000"/>
          <w:kern w:val="0"/>
          <w14:ligatures w14:val="none"/>
        </w:rPr>
        <w:t>Wartenberg</w:t>
      </w:r>
      <w:proofErr w:type="spellEnd"/>
      <w:r w:rsidRPr="00306FC8">
        <w:rPr>
          <w:rFonts w:ascii="Aptos" w:eastAsia="Times New Roman" w:hAnsi="Aptos" w:cs="Times New Roman"/>
          <w:color w:val="000000"/>
          <w:kern w:val="0"/>
          <w14:ligatures w14:val="none"/>
        </w:rPr>
        <w:t xml:space="preserve">. 2004. “Spatial Epidemiology: Current Approaches and Future Challenges.” </w:t>
      </w:r>
      <w:r w:rsidRPr="00306FC8">
        <w:rPr>
          <w:rFonts w:ascii="Aptos" w:eastAsia="Times New Roman" w:hAnsi="Aptos" w:cs="Times New Roman"/>
          <w:i/>
          <w:iCs/>
          <w:color w:val="000000"/>
          <w:kern w:val="0"/>
          <w14:ligatures w14:val="none"/>
        </w:rPr>
        <w:t>Environmental Health Perspectives</w:t>
      </w:r>
      <w:r w:rsidRPr="00306FC8">
        <w:rPr>
          <w:rFonts w:ascii="Aptos" w:eastAsia="Times New Roman" w:hAnsi="Aptos" w:cs="Times New Roman"/>
          <w:color w:val="000000"/>
          <w:kern w:val="0"/>
          <w14:ligatures w14:val="none"/>
        </w:rPr>
        <w:t xml:space="preserve"> 112 (9): 998–1006. https://doi.org/10.1289/ehp.6735.</w:t>
      </w:r>
    </w:p>
    <w:p w14:paraId="63282140" w14:textId="77777777" w:rsidR="00306FC8" w:rsidRPr="00306FC8" w:rsidRDefault="00306FC8" w:rsidP="00306FC8">
      <w:pPr>
        <w:ind w:hanging="720"/>
        <w:rPr>
          <w:rFonts w:ascii="Times New Roman" w:eastAsia="Times New Roman" w:hAnsi="Times New Roman" w:cs="Times New Roman"/>
          <w:kern w:val="0"/>
          <w14:ligatures w14:val="none"/>
        </w:rPr>
      </w:pPr>
      <w:r w:rsidRPr="00306FC8">
        <w:rPr>
          <w:rFonts w:ascii="Aptos" w:eastAsia="Times New Roman" w:hAnsi="Aptos" w:cs="Times New Roman"/>
          <w:color w:val="000000"/>
          <w:kern w:val="0"/>
          <w14:ligatures w14:val="none"/>
        </w:rPr>
        <w:t xml:space="preserve">Lawson, Andrew, and Duncan Lee. 2017. “Bayesian Disease Mapping for Public Health.” In </w:t>
      </w:r>
      <w:r w:rsidRPr="00306FC8">
        <w:rPr>
          <w:rFonts w:ascii="Aptos" w:eastAsia="Times New Roman" w:hAnsi="Aptos" w:cs="Times New Roman"/>
          <w:i/>
          <w:iCs/>
          <w:color w:val="000000"/>
          <w:kern w:val="0"/>
          <w14:ligatures w14:val="none"/>
        </w:rPr>
        <w:t>Handbook of Statistics</w:t>
      </w:r>
      <w:r w:rsidRPr="00306FC8">
        <w:rPr>
          <w:rFonts w:ascii="Aptos" w:eastAsia="Times New Roman" w:hAnsi="Aptos" w:cs="Times New Roman"/>
          <w:color w:val="000000"/>
          <w:kern w:val="0"/>
          <w14:ligatures w14:val="none"/>
        </w:rPr>
        <w:t>. https://doi.org/10.1016/bs.host.2017.05.001.</w:t>
      </w:r>
    </w:p>
    <w:p w14:paraId="15907369" w14:textId="77777777" w:rsidR="00306FC8" w:rsidRPr="00306FC8" w:rsidRDefault="00306FC8" w:rsidP="00306FC8">
      <w:pPr>
        <w:ind w:hanging="720"/>
        <w:rPr>
          <w:rFonts w:ascii="Times New Roman" w:eastAsia="Times New Roman" w:hAnsi="Times New Roman" w:cs="Times New Roman"/>
          <w:kern w:val="0"/>
          <w14:ligatures w14:val="none"/>
        </w:rPr>
      </w:pPr>
      <w:r w:rsidRPr="00306FC8">
        <w:rPr>
          <w:rFonts w:ascii="Aptos" w:eastAsia="Times New Roman" w:hAnsi="Aptos" w:cs="Times New Roman"/>
          <w:color w:val="000000"/>
          <w:kern w:val="0"/>
          <w14:ligatures w14:val="none"/>
        </w:rPr>
        <w:t xml:space="preserve">Rue, H., S. Martino, and N. Chopin. 2009. “Approximate Bayesian Inference for Latent Gaussian Models by Using Integrated Nested Laplace Approximations.” </w:t>
      </w:r>
      <w:r w:rsidRPr="00306FC8">
        <w:rPr>
          <w:rFonts w:ascii="Aptos" w:eastAsia="Times New Roman" w:hAnsi="Aptos" w:cs="Times New Roman"/>
          <w:i/>
          <w:iCs/>
          <w:color w:val="000000"/>
          <w:kern w:val="0"/>
          <w14:ligatures w14:val="none"/>
        </w:rPr>
        <w:t xml:space="preserve">J R Stat Soc Ser B Stat </w:t>
      </w:r>
      <w:proofErr w:type="spellStart"/>
      <w:r w:rsidRPr="00306FC8">
        <w:rPr>
          <w:rFonts w:ascii="Aptos" w:eastAsia="Times New Roman" w:hAnsi="Aptos" w:cs="Times New Roman"/>
          <w:i/>
          <w:iCs/>
          <w:color w:val="000000"/>
          <w:kern w:val="0"/>
          <w14:ligatures w14:val="none"/>
        </w:rPr>
        <w:t>Methodol</w:t>
      </w:r>
      <w:proofErr w:type="spellEnd"/>
      <w:r w:rsidRPr="00306FC8">
        <w:rPr>
          <w:rFonts w:ascii="Aptos" w:eastAsia="Times New Roman" w:hAnsi="Aptos" w:cs="Times New Roman"/>
          <w:color w:val="000000"/>
          <w:kern w:val="0"/>
          <w14:ligatures w14:val="none"/>
        </w:rPr>
        <w:t xml:space="preserve"> 71. https://doi.org/10.1111/j.1467-9868.2008.00700.x.</w:t>
      </w:r>
    </w:p>
    <w:p w14:paraId="61A850D8" w14:textId="77777777" w:rsidR="00306FC8" w:rsidRPr="00306FC8" w:rsidRDefault="00306FC8" w:rsidP="00306FC8">
      <w:pPr>
        <w:ind w:hanging="720"/>
        <w:rPr>
          <w:rFonts w:ascii="Times New Roman" w:eastAsia="Times New Roman" w:hAnsi="Times New Roman" w:cs="Times New Roman"/>
          <w:kern w:val="0"/>
          <w14:ligatures w14:val="none"/>
        </w:rPr>
      </w:pPr>
      <w:r w:rsidRPr="00306FC8">
        <w:rPr>
          <w:rFonts w:ascii="Aptos" w:eastAsia="Times New Roman" w:hAnsi="Aptos" w:cs="Times New Roman"/>
          <w:color w:val="000000"/>
          <w:kern w:val="0"/>
          <w14:ligatures w14:val="none"/>
        </w:rPr>
        <w:t xml:space="preserve">Tenny, Steven, and Mary R. Hoffman. 2024. “Relative Risk.” In </w:t>
      </w:r>
      <w:proofErr w:type="spellStart"/>
      <w:r w:rsidRPr="00306FC8">
        <w:rPr>
          <w:rFonts w:ascii="Aptos" w:eastAsia="Times New Roman" w:hAnsi="Aptos" w:cs="Times New Roman"/>
          <w:i/>
          <w:iCs/>
          <w:color w:val="000000"/>
          <w:kern w:val="0"/>
          <w14:ligatures w14:val="none"/>
        </w:rPr>
        <w:t>StatPearls</w:t>
      </w:r>
      <w:proofErr w:type="spellEnd"/>
      <w:r w:rsidRPr="00306FC8">
        <w:rPr>
          <w:rFonts w:ascii="Aptos" w:eastAsia="Times New Roman" w:hAnsi="Aptos" w:cs="Times New Roman"/>
          <w:color w:val="000000"/>
          <w:kern w:val="0"/>
          <w14:ligatures w14:val="none"/>
        </w:rPr>
        <w:t xml:space="preserve">. Treasure Island (FL): </w:t>
      </w:r>
      <w:proofErr w:type="spellStart"/>
      <w:r w:rsidRPr="00306FC8">
        <w:rPr>
          <w:rFonts w:ascii="Aptos" w:eastAsia="Times New Roman" w:hAnsi="Aptos" w:cs="Times New Roman"/>
          <w:color w:val="000000"/>
          <w:kern w:val="0"/>
          <w14:ligatures w14:val="none"/>
        </w:rPr>
        <w:t>StatPearls</w:t>
      </w:r>
      <w:proofErr w:type="spellEnd"/>
      <w:r w:rsidRPr="00306FC8">
        <w:rPr>
          <w:rFonts w:ascii="Aptos" w:eastAsia="Times New Roman" w:hAnsi="Aptos" w:cs="Times New Roman"/>
          <w:color w:val="000000"/>
          <w:kern w:val="0"/>
          <w14:ligatures w14:val="none"/>
        </w:rPr>
        <w:t xml:space="preserve"> Publishing. http://www.ncbi.nlm.nih.gov/books/NBK430824/.</w:t>
      </w:r>
    </w:p>
    <w:p w14:paraId="1132562C" w14:textId="77777777" w:rsidR="00306FC8" w:rsidRPr="00306FC8" w:rsidRDefault="00306FC8" w:rsidP="00306FC8">
      <w:pPr>
        <w:ind w:hanging="720"/>
        <w:rPr>
          <w:rFonts w:ascii="Times New Roman" w:eastAsia="Times New Roman" w:hAnsi="Times New Roman" w:cs="Times New Roman"/>
          <w:kern w:val="0"/>
          <w14:ligatures w14:val="none"/>
        </w:rPr>
      </w:pPr>
      <w:r w:rsidRPr="00306FC8">
        <w:rPr>
          <w:rFonts w:ascii="Aptos" w:eastAsia="Times New Roman" w:hAnsi="Aptos" w:cs="Times New Roman"/>
          <w:color w:val="000000"/>
          <w:kern w:val="0"/>
          <w14:ligatures w14:val="none"/>
        </w:rPr>
        <w:t xml:space="preserve">Walter, S. D. 2001. “Disease Mapping: A Historical Perspective.” In </w:t>
      </w:r>
      <w:r w:rsidRPr="00306FC8">
        <w:rPr>
          <w:rFonts w:ascii="Aptos" w:eastAsia="Times New Roman" w:hAnsi="Aptos" w:cs="Times New Roman"/>
          <w:i/>
          <w:iCs/>
          <w:color w:val="000000"/>
          <w:kern w:val="0"/>
          <w14:ligatures w14:val="none"/>
        </w:rPr>
        <w:t>Spatial Epidemiology: Methods and Applications</w:t>
      </w:r>
      <w:r w:rsidRPr="00306FC8">
        <w:rPr>
          <w:rFonts w:ascii="Aptos" w:eastAsia="Times New Roman" w:hAnsi="Aptos" w:cs="Times New Roman"/>
          <w:color w:val="000000"/>
          <w:kern w:val="0"/>
          <w14:ligatures w14:val="none"/>
        </w:rPr>
        <w:t>, edited by Paul Elliott, Jon Wakefield, Nicola Best, and David Briggs, 0. Oxford University Press. https://doi.org/10.1093/acprof:oso/9780198515326.003.0012.</w:t>
      </w:r>
    </w:p>
    <w:p w14:paraId="53209872" w14:textId="77777777" w:rsidR="00306FC8" w:rsidRPr="00306FC8" w:rsidRDefault="00306FC8" w:rsidP="00306FC8">
      <w:pPr>
        <w:rPr>
          <w:rFonts w:ascii="Times New Roman" w:eastAsia="Times New Roman" w:hAnsi="Times New Roman" w:cs="Times New Roman"/>
          <w:kern w:val="0"/>
          <w14:ligatures w14:val="none"/>
        </w:rPr>
      </w:pPr>
    </w:p>
    <w:p w14:paraId="190CEF5D" w14:textId="77777777" w:rsidR="00306FC8" w:rsidRDefault="00306FC8"/>
    <w:sectPr w:rsidR="00306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FC8"/>
    <w:rsid w:val="00306FC8"/>
    <w:rsid w:val="005E4687"/>
    <w:rsid w:val="00AB31A1"/>
    <w:rsid w:val="00C5552C"/>
    <w:rsid w:val="00D179CF"/>
    <w:rsid w:val="00DA3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6923F3"/>
  <w15:chartTrackingRefBased/>
  <w15:docId w15:val="{B6E60DA6-2A8E-6146-B08E-15357867A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F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6F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6F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6F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6F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F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F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F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F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F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6F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6F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6F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6F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6F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F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F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FC8"/>
    <w:rPr>
      <w:rFonts w:eastAsiaTheme="majorEastAsia" w:cstheme="majorBidi"/>
      <w:color w:val="272727" w:themeColor="text1" w:themeTint="D8"/>
    </w:rPr>
  </w:style>
  <w:style w:type="paragraph" w:styleId="Title">
    <w:name w:val="Title"/>
    <w:basedOn w:val="Normal"/>
    <w:next w:val="Normal"/>
    <w:link w:val="TitleChar"/>
    <w:uiPriority w:val="10"/>
    <w:qFormat/>
    <w:rsid w:val="00306F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F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F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F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F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06FC8"/>
    <w:rPr>
      <w:i/>
      <w:iCs/>
      <w:color w:val="404040" w:themeColor="text1" w:themeTint="BF"/>
    </w:rPr>
  </w:style>
  <w:style w:type="paragraph" w:styleId="ListParagraph">
    <w:name w:val="List Paragraph"/>
    <w:basedOn w:val="Normal"/>
    <w:uiPriority w:val="34"/>
    <w:qFormat/>
    <w:rsid w:val="00306FC8"/>
    <w:pPr>
      <w:ind w:left="720"/>
      <w:contextualSpacing/>
    </w:pPr>
  </w:style>
  <w:style w:type="character" w:styleId="IntenseEmphasis">
    <w:name w:val="Intense Emphasis"/>
    <w:basedOn w:val="DefaultParagraphFont"/>
    <w:uiPriority w:val="21"/>
    <w:qFormat/>
    <w:rsid w:val="00306FC8"/>
    <w:rPr>
      <w:i/>
      <w:iCs/>
      <w:color w:val="0F4761" w:themeColor="accent1" w:themeShade="BF"/>
    </w:rPr>
  </w:style>
  <w:style w:type="paragraph" w:styleId="IntenseQuote">
    <w:name w:val="Intense Quote"/>
    <w:basedOn w:val="Normal"/>
    <w:next w:val="Normal"/>
    <w:link w:val="IntenseQuoteChar"/>
    <w:uiPriority w:val="30"/>
    <w:qFormat/>
    <w:rsid w:val="00306F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FC8"/>
    <w:rPr>
      <w:i/>
      <w:iCs/>
      <w:color w:val="0F4761" w:themeColor="accent1" w:themeShade="BF"/>
    </w:rPr>
  </w:style>
  <w:style w:type="character" w:styleId="IntenseReference">
    <w:name w:val="Intense Reference"/>
    <w:basedOn w:val="DefaultParagraphFont"/>
    <w:uiPriority w:val="32"/>
    <w:qFormat/>
    <w:rsid w:val="00306FC8"/>
    <w:rPr>
      <w:b/>
      <w:bCs/>
      <w:smallCaps/>
      <w:color w:val="0F4761" w:themeColor="accent1" w:themeShade="BF"/>
      <w:spacing w:val="5"/>
    </w:rPr>
  </w:style>
  <w:style w:type="paragraph" w:styleId="NormalWeb">
    <w:name w:val="Normal (Web)"/>
    <w:basedOn w:val="Normal"/>
    <w:uiPriority w:val="99"/>
    <w:semiHidden/>
    <w:unhideWhenUsed/>
    <w:rsid w:val="00306FC8"/>
    <w:pPr>
      <w:spacing w:before="100" w:beforeAutospacing="1" w:after="100" w:afterAutospacing="1"/>
    </w:pPr>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306FC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198482">
      <w:bodyDiv w:val="1"/>
      <w:marLeft w:val="0"/>
      <w:marRight w:val="0"/>
      <w:marTop w:val="0"/>
      <w:marBottom w:val="0"/>
      <w:divBdr>
        <w:top w:val="none" w:sz="0" w:space="0" w:color="auto"/>
        <w:left w:val="none" w:sz="0" w:space="0" w:color="auto"/>
        <w:bottom w:val="none" w:sz="0" w:space="0" w:color="auto"/>
        <w:right w:val="none" w:sz="0" w:space="0" w:color="auto"/>
      </w:divBdr>
    </w:div>
    <w:div w:id="163436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2799</Words>
  <Characters>15956</Characters>
  <Application>Microsoft Office Word</Application>
  <DocSecurity>0</DocSecurity>
  <Lines>132</Lines>
  <Paragraphs>37</Paragraphs>
  <ScaleCrop>false</ScaleCrop>
  <Company/>
  <LinksUpToDate>false</LinksUpToDate>
  <CharactersWithSpaces>18718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Garcia-Gonzales, Diane</dc:creator>
  <cp:keywords/>
  <dc:description/>
  <cp:lastModifiedBy>Garcia-Gonzales, Diane</cp:lastModifiedBy>
  <cp:revision>1</cp:revision>
  <dcterms:created xsi:type="dcterms:W3CDTF">2025-02-06T22:23:00Z</dcterms:created>
  <dcterms:modified xsi:type="dcterms:W3CDTF">2025-02-06T22:24:00Z</dcterms:modified>
</cp:coreProperties>
</file>