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50B3E25F" w:rsidR="008F5633" w:rsidRDefault="003D3CF3">
      <w:r>
        <w:t>Our initial thought of showing statistics for “all time” was also changed to a “span of years”, where we chose the minimum and maximum years, making our visualization more flexible.</w:t>
      </w:r>
    </w:p>
    <w:p w14:paraId="016150A6" w14:textId="3651566B" w:rsidR="006B3F1F" w:rsidRDefault="00BB526E" w:rsidP="009D0E6F">
      <w:pPr>
        <w:pStyle w:val="Heading1"/>
        <w:spacing w:before="0"/>
      </w:pPr>
      <w:r>
        <w:t>RELATED WORK</w:t>
      </w:r>
      <w:r w:rsidR="00D60966">
        <w:t>s</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CF09C7">
      <w:hyperlink r:id="rId9" w:history="1">
        <w:r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w:t>
      </w:r>
      <w:bookmarkStart w:id="0" w:name="_GoBack"/>
      <w:bookmarkEnd w:id="0"/>
      <w:r>
        <w:t>s bubbles, and the rest of our solution came from our own thoughts.</w:t>
      </w:r>
    </w:p>
    <w:p w14:paraId="2B5FA735" w14:textId="32D3230C" w:rsidR="006B3F1F" w:rsidRDefault="008D4775">
      <w:pPr>
        <w:pStyle w:val="Heading1"/>
      </w:pPr>
      <w:r>
        <w:t>RELATED WORKS</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lastRenderedPageBreak/>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865BD6"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lastRenderedPageBreak/>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 xml:space="preserve">Occasionally MS Word generates larger-than-necessary PDF files when images inserted into the document are manipulated in MS Word. To minimize this problem, use an image editing tool to resize the image at the appropriate </w:t>
      </w:r>
      <w:r>
        <w:lastRenderedPageBreak/>
        <w:t xml:space="preserve">printing resolution (usually 300 dpi), and then insert the </w:t>
      </w:r>
      <w:r>
        <w:lastRenderedPageBreak/>
        <w:t>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865BD6"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865BD6"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1"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60FD7" w14:textId="77777777" w:rsidR="00865BD6" w:rsidRDefault="00865BD6">
      <w:r>
        <w:separator/>
      </w:r>
    </w:p>
  </w:endnote>
  <w:endnote w:type="continuationSeparator" w:id="0">
    <w:p w14:paraId="259EC743" w14:textId="77777777" w:rsidR="00865BD6" w:rsidRDefault="0086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E11A8" w14:textId="77777777" w:rsidR="00865BD6" w:rsidRDefault="00865BD6" w:rsidP="00443E9F">
      <w:pPr>
        <w:spacing w:after="0"/>
      </w:pPr>
      <w:r>
        <w:separator/>
      </w:r>
    </w:p>
  </w:footnote>
  <w:footnote w:type="continuationSeparator" w:id="0">
    <w:p w14:paraId="52FF33A5" w14:textId="77777777" w:rsidR="00865BD6" w:rsidRDefault="00865BD6"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1714"/>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013BD"/>
    <w:rsid w:val="008134A2"/>
    <w:rsid w:val="00853A06"/>
    <w:rsid w:val="00855456"/>
    <w:rsid w:val="008639E0"/>
    <w:rsid w:val="00865BD6"/>
    <w:rsid w:val="0088145B"/>
    <w:rsid w:val="00890225"/>
    <w:rsid w:val="00890771"/>
    <w:rsid w:val="008C3181"/>
    <w:rsid w:val="008C41ED"/>
    <w:rsid w:val="008D07FD"/>
    <w:rsid w:val="008D4775"/>
    <w:rsid w:val="008F5633"/>
    <w:rsid w:val="00901095"/>
    <w:rsid w:val="0090145C"/>
    <w:rsid w:val="00904A50"/>
    <w:rsid w:val="00912676"/>
    <w:rsid w:val="00916282"/>
    <w:rsid w:val="00923416"/>
    <w:rsid w:val="009375E5"/>
    <w:rsid w:val="009402CA"/>
    <w:rsid w:val="00954859"/>
    <w:rsid w:val="009863CF"/>
    <w:rsid w:val="00992D8D"/>
    <w:rsid w:val="009A62ED"/>
    <w:rsid w:val="009C1679"/>
    <w:rsid w:val="009C4DB0"/>
    <w:rsid w:val="009D0E6F"/>
    <w:rsid w:val="009E3B95"/>
    <w:rsid w:val="009F2B73"/>
    <w:rsid w:val="00A03CDD"/>
    <w:rsid w:val="00A1173C"/>
    <w:rsid w:val="00A3272B"/>
    <w:rsid w:val="00A45CEE"/>
    <w:rsid w:val="00A46C17"/>
    <w:rsid w:val="00A56217"/>
    <w:rsid w:val="00A616AC"/>
    <w:rsid w:val="00A62A70"/>
    <w:rsid w:val="00A631A3"/>
    <w:rsid w:val="00A6678D"/>
    <w:rsid w:val="00A71EF6"/>
    <w:rsid w:val="00A72455"/>
    <w:rsid w:val="00A7286E"/>
    <w:rsid w:val="00A729A3"/>
    <w:rsid w:val="00A8132E"/>
    <w:rsid w:val="00AA7718"/>
    <w:rsid w:val="00AB2711"/>
    <w:rsid w:val="00AB5F64"/>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526E"/>
    <w:rsid w:val="00BC4868"/>
    <w:rsid w:val="00BD2529"/>
    <w:rsid w:val="00BE132C"/>
    <w:rsid w:val="00BF5A0B"/>
    <w:rsid w:val="00C06485"/>
    <w:rsid w:val="00C07EC8"/>
    <w:rsid w:val="00C42DF6"/>
    <w:rsid w:val="00C668FF"/>
    <w:rsid w:val="00C83F7C"/>
    <w:rsid w:val="00C852D4"/>
    <w:rsid w:val="00C94279"/>
    <w:rsid w:val="00CA14C1"/>
    <w:rsid w:val="00CA1F35"/>
    <w:rsid w:val="00CA5766"/>
    <w:rsid w:val="00CB1DB1"/>
    <w:rsid w:val="00CE28F2"/>
    <w:rsid w:val="00CE7D73"/>
    <w:rsid w:val="00CF09C7"/>
    <w:rsid w:val="00CF2A42"/>
    <w:rsid w:val="00D10462"/>
    <w:rsid w:val="00D12810"/>
    <w:rsid w:val="00D155A0"/>
    <w:rsid w:val="00D170CB"/>
    <w:rsid w:val="00D32315"/>
    <w:rsid w:val="00D32E62"/>
    <w:rsid w:val="00D3324C"/>
    <w:rsid w:val="00D45340"/>
    <w:rsid w:val="00D547AD"/>
    <w:rsid w:val="00D60966"/>
    <w:rsid w:val="00D60FA7"/>
    <w:rsid w:val="00D65617"/>
    <w:rsid w:val="00D84763"/>
    <w:rsid w:val="00D90F52"/>
    <w:rsid w:val="00D93431"/>
    <w:rsid w:val="00DA57B6"/>
    <w:rsid w:val="00DB7B90"/>
    <w:rsid w:val="00DE1746"/>
    <w:rsid w:val="00DE3B36"/>
    <w:rsid w:val="00DE4BFC"/>
    <w:rsid w:val="00DF1A6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acm.org/class/how_to_use.html%20" TargetMode="External"/><Relationship Id="rId3" Type="http://schemas.openxmlformats.org/officeDocument/2006/relationships/styles" Target="styles.xml"/><Relationship Id="rId21" Type="http://schemas.openxmlformats.org/officeDocument/2006/relationships/hyperlink" Target="http://doi.acm.org/10.1145/503376.503378" TargetMode="External"/><Relationship Id="rId7" Type="http://schemas.openxmlformats.org/officeDocument/2006/relationships/footnotes" Target="footnotes.xml"/><Relationship Id="rId12" Type="http://schemas.openxmlformats.org/officeDocument/2006/relationships/hyperlink" Target="http://acm.org/publications/submissions/latex_style" TargetMode="External"/><Relationship Id="rId17" Type="http://schemas.openxmlformats.org/officeDocument/2006/relationships/hyperlink" Target="http://www.acm.org/publications/submissions/latex_style" TargetMode="External"/><Relationship Id="rId2" Type="http://schemas.openxmlformats.org/officeDocument/2006/relationships/numbering" Target="numbering.xml"/><Relationship Id="rId16" Type="http://schemas.openxmlformats.org/officeDocument/2006/relationships/hyperlink" Target="http://sheridanprinting.com/typedept/ACM-distilling-settings.htm" TargetMode="External"/><Relationship Id="rId20" Type="http://schemas.openxmlformats.org/officeDocument/2006/relationships/hyperlink" Target="http://dx.doi.org/10.1007/s00779-014-077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hi2016.acm.org/accessibility" TargetMode="External"/><Relationship Id="rId23" Type="http://schemas.openxmlformats.org/officeDocument/2006/relationships/fontTable" Target="fontTable.xml"/><Relationship Id="rId10" Type="http://schemas.openxmlformats.org/officeDocument/2006/relationships/hyperlink" Target="http://acm.org/publications/policies/copyright_policy" TargetMode="External"/><Relationship Id="rId19" Type="http://schemas.openxmlformats.org/officeDocument/2006/relationships/hyperlink" Target="http://www.sigaccess.org/welcome-to-sigaccess/resources/accessible-writing-guide/" TargetMode="External"/><Relationship Id="rId4" Type="http://schemas.microsoft.com/office/2007/relationships/stylesWithEffects" Target="stylesWithEffects.xml"/><Relationship Id="rId9" Type="http://schemas.openxmlformats.org/officeDocument/2006/relationships/hyperlink" Target="http://www.nytimes.com/interactive/2008/08/04/sports/olympics/20080804_MEDALCOUNT_MAP.html?_r=0" TargetMode="External"/><Relationship Id="rId14" Type="http://schemas.openxmlformats.org/officeDocument/2006/relationships/image" Target="media/image2.png"/><Relationship Id="rId22" Type="http://schemas.openxmlformats.org/officeDocument/2006/relationships/hyperlink" Target="https://www.youtube.com/watch?v=9bZkp7q19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C9A59-391A-4D73-BB23-F41DC9188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19333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10</cp:revision>
  <cp:lastPrinted>2015-02-13T20:42:00Z</cp:lastPrinted>
  <dcterms:created xsi:type="dcterms:W3CDTF">2015-02-13T20:42:00Z</dcterms:created>
  <dcterms:modified xsi:type="dcterms:W3CDTF">2015-12-13T17:06:00Z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