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0" w:after="240" w:line="240" w:lineRule="auto"/>
        <w:jc w:val="left"/>
      </w:pPr>
      <w:r>
        <w:rPr>
          <w:rFonts w:ascii="Lato" w:hAnsi="Lato"/>
          <w:b/>
          <w:i w:val="0"/>
          <w:color w:val="177E89"/>
          <w:sz w:val="22"/>
        </w:rPr>
        <w:t>CARBON SCIENCE &amp; RESEARCH</w:t>
      </w:r>
    </w:p>
    <w:p>
      <w:pPr>
        <w:pStyle w:val="Title"/>
        <w:keepNext w:val="0"/>
        <w:keepLines w:val="0"/>
        <w:widowControl/>
        <w:spacing w:before="0" w:after="240" w:line="247" w:lineRule="auto"/>
      </w:pPr>
      <w:r>
        <w:rPr>
          <w:rFonts w:ascii="Lato" w:hAnsi="Lato"/>
          <w:b/>
          <w:i w:val="0"/>
          <w:color w:val="19344A"/>
          <w:sz w:val="56"/>
        </w:rPr>
        <w:t>Science-Backed Go-to-Market and Physics Qualification Roadmap</w:t>
      </w:r>
    </w:p>
    <w:p>
      <w:pPr>
        <w:pStyle w:val="Subtitle"/>
        <w:keepNext w:val="0"/>
        <w:keepLines w:val="0"/>
        <w:widowControl/>
        <w:spacing w:before="0" w:after="360" w:line="264" w:lineRule="auto"/>
      </w:pPr>
      <w:r>
        <w:rPr>
          <w:rFonts w:ascii="Inter" w:hAnsi="Inter"/>
          <w:b w:val="0"/>
          <w:i w:val="0"/>
          <w:color w:val="5A6872"/>
          <w:sz w:val="25"/>
        </w:rPr>
        <w:t>State-of-the-art reference strategies, Method of Manufactured Solutions, hybrid neural-operator solvers, and engineering use-case matrix</w:t>
      </w:r>
    </w:p>
    <w:tbl>
      <w:tblPr>
        <w:tblW w:type="auto" w:w="0"/>
        <w:jc w:val="left"/>
        <w:tblLayout w:type="fixed"/>
        <w:tblLook w:firstColumn="1" w:firstRow="1" w:lastColumn="0" w:lastRow="0" w:noHBand="0" w:noVBand="1" w:val="04A0"/>
      </w:tblPr>
      <w:tblGrid>
        <w:gridCol w:w="10080"/>
      </w:tblGrid>
      <w:tr>
        <w:trPr>
          <w:trHeight w:val="80" w:hRule="exact"/>
          <w:tblHeader/>
        </w:trPr>
        <w:tc>
          <w:tcPr>
            <w:tcW w:type="dxa" w:w="9648"/>
            <w:shd w:fill="177E89"/>
            <w:tcMar>
              <w:top w:w="0" w:type="dxa"/>
              <w:start w:w="0" w:type="dxa"/>
              <w:bottom w:w="0" w:type="dxa"/>
              <w:end w:w="0" w:type="dxa"/>
            </w:tcMar>
          </w:tcPr>
          <w:p>
            <w:pPr>
              <w:spacing w:after="0"/>
            </w:pPr>
            <w:r>
              <w:t xml:space="preserve"> </w:t>
            </w:r>
          </w:p>
        </w:tc>
      </w:tr>
    </w:tbl>
    <w:p>
      <w:pPr>
        <w:keepNext w:val="0"/>
        <w:keepLines w:val="0"/>
        <w:widowControl/>
        <w:spacing w:before="360" w:after="40" w:line="259" w:lineRule="auto"/>
      </w:pPr>
      <w:r>
        <w:rPr>
          <w:rFonts w:ascii="Inter" w:hAnsi="Inter"/>
          <w:b/>
          <w:i w:val="0"/>
          <w:color w:val="1E2933"/>
          <w:sz w:val="20"/>
        </w:rPr>
        <w:t>Research current through 27 August 2026</w:t>
      </w:r>
    </w:p>
    <w:p>
      <w:pPr>
        <w:keepNext w:val="0"/>
        <w:keepLines w:val="0"/>
        <w:widowControl/>
        <w:spacing w:before="0" w:after="40" w:line="259" w:lineRule="auto"/>
      </w:pPr>
      <w:r>
        <w:rPr>
          <w:rFonts w:ascii="Inter" w:hAnsi="Inter"/>
          <w:b w:val="0"/>
          <w:i w:val="0"/>
          <w:color w:val="5A6872"/>
          <w:sz w:val="17"/>
        </w:rPr>
        <w:t>Repository basis: Carbon main snapshot 4e4a66d29566a2a62a82188adddac76e6e0fb8b8</w:t>
      </w:r>
    </w:p>
    <w:p>
      <w:pPr>
        <w:keepNext w:val="0"/>
        <w:keepLines w:val="0"/>
        <w:widowControl/>
        <w:spacing w:before="0" w:after="300" w:line="269" w:lineRule="auto"/>
      </w:pPr>
      <w:r>
        <w:rPr>
          <w:rFonts w:ascii="Inter" w:hAnsi="Inter"/>
          <w:b/>
          <w:i w:val="0"/>
          <w:color w:val="A43A3A"/>
          <w:sz w:val="18"/>
        </w:rPr>
        <w:t>Status: working research memo for scientific and commercial planning. It does not establish a product decision, LIVE Challenge, solver qualification, score threshold, customer demand, or regulatory claim.</w:t>
      </w:r>
    </w:p>
    <w:tbl>
      <w:tblPr>
        <w:tblW w:type="auto" w:w="0"/>
        <w:jc w:val="left"/>
        <w:tblLayout w:type="fixed"/>
        <w:tblLook w:firstColumn="1" w:firstRow="1" w:lastColumn="0" w:lastRow="0" w:noHBand="0" w:noVBand="1" w:val="04A0"/>
      </w:tblPr>
      <w:tblGrid>
        <w:gridCol w:w="5040"/>
        <w:gridCol w:w="5040"/>
      </w:tblGrid>
      <w:tr>
        <w:tc>
          <w:tcPr>
            <w:tcW w:type="dxa" w:w="1007"/>
            <w:shd w:fill="2C5F8A"/>
            <w:tcMar>
              <w:top w:w="75" w:type="dxa"/>
              <w:start w:w="75" w:type="dxa"/>
              <w:bottom w:w="75" w:type="dxa"/>
              <w:end w:w="75" w:type="dxa"/>
            </w:tcMar>
          </w:tcPr>
          <w:p>
            <w:pPr>
              <w:keepNext w:val="0"/>
              <w:keepLines w:val="0"/>
              <w:widowControl/>
              <w:spacing w:before="0" w:after="0" w:line="240" w:lineRule="auto"/>
              <w:jc w:val="center"/>
            </w:pPr>
            <w:r>
              <w:rPr>
                <w:rFonts w:ascii="Lato" w:hAnsi="Lato"/>
                <w:b/>
                <w:i w:val="0"/>
                <w:color w:val="FFFFFF"/>
                <w:sz w:val="18"/>
              </w:rPr>
              <w:t>EXT</w:t>
            </w:r>
          </w:p>
        </w:tc>
        <w:tc>
          <w:tcPr>
            <w:tcW w:type="dxa" w:w="8568"/>
            <w:shd w:fill="EAF2F8"/>
            <w:tcMar>
              <w:top w:w="75" w:type="dxa"/>
              <w:start w:w="100" w:type="dxa"/>
              <w:bottom w:w="75" w:type="dxa"/>
              <w:end w:w="100" w:type="dxa"/>
            </w:tcMar>
          </w:tcPr>
          <w:p>
            <w:pPr>
              <w:keepNext w:val="0"/>
              <w:keepLines w:val="0"/>
              <w:widowControl/>
              <w:spacing w:before="0" w:after="0" w:line="252" w:lineRule="auto"/>
            </w:pPr>
            <w:r>
              <w:rPr>
                <w:rFonts w:ascii="Lato" w:hAnsi="Lato"/>
                <w:b/>
                <w:i w:val="0"/>
                <w:color w:val="1E2933"/>
                <w:sz w:val="18"/>
              </w:rPr>
              <w:t xml:space="preserve">External scientific result : </w:t>
            </w:r>
            <w:r>
              <w:rPr>
                <w:rFonts w:ascii="Inter" w:hAnsi="Inter"/>
                <w:b w:val="0"/>
                <w:i w:val="0"/>
                <w:color w:val="1E2933"/>
                <w:sz w:val="17"/>
              </w:rPr>
              <w:t>Published paper, official technical documentation, benchmark, or reproducible source.</w:t>
            </w:r>
          </w:p>
        </w:tc>
        <w:trPr>
          <w:tblHeader/>
        </w:trPr>
      </w:tr>
      <w:tr>
        <w:tc>
          <w:tcPr>
            <w:tcW w:type="dxa" w:w="1007"/>
            <w:shd w:fill="B7791F"/>
            <w:tcMar>
              <w:top w:w="75" w:type="dxa"/>
              <w:start w:w="75" w:type="dxa"/>
              <w:bottom w:w="75" w:type="dxa"/>
              <w:end w:w="75" w:type="dxa"/>
            </w:tcMar>
          </w:tcPr>
          <w:p>
            <w:pPr>
              <w:keepNext w:val="0"/>
              <w:keepLines w:val="0"/>
              <w:widowControl/>
              <w:spacing w:before="0" w:after="0" w:line="240" w:lineRule="auto"/>
              <w:jc w:val="center"/>
            </w:pPr>
            <w:r>
              <w:rPr>
                <w:rFonts w:ascii="Lato" w:hAnsi="Lato"/>
                <w:b/>
                <w:i w:val="0"/>
                <w:color w:val="FFFFFF"/>
                <w:sz w:val="18"/>
              </w:rPr>
              <w:t>CH</w:t>
            </w:r>
          </w:p>
        </w:tc>
        <w:tc>
          <w:tcPr>
            <w:tcW w:type="dxa" w:w="8568"/>
            <w:shd w:fill="FBF4E5"/>
            <w:tcMar>
              <w:top w:w="75" w:type="dxa"/>
              <w:start w:w="100" w:type="dxa"/>
              <w:bottom w:w="75" w:type="dxa"/>
              <w:end w:w="100" w:type="dxa"/>
            </w:tcMar>
          </w:tcPr>
          <w:p>
            <w:pPr>
              <w:keepNext w:val="0"/>
              <w:keepLines w:val="0"/>
              <w:widowControl/>
              <w:spacing w:before="0" w:after="0" w:line="252" w:lineRule="auto"/>
            </w:pPr>
            <w:r>
              <w:rPr>
                <w:rFonts w:ascii="Lato" w:hAnsi="Lato"/>
                <w:b/>
                <w:i w:val="0"/>
                <w:color w:val="1E2933"/>
                <w:sz w:val="18"/>
              </w:rPr>
              <w:t xml:space="preserve">Carbon hypothesis : </w:t>
            </w:r>
            <w:r>
              <w:rPr>
                <w:rFonts w:ascii="Inter" w:hAnsi="Inter"/>
                <w:b w:val="0"/>
                <w:i w:val="0"/>
                <w:color w:val="1E2933"/>
                <w:sz w:val="17"/>
              </w:rPr>
              <w:t>A strategic or scientific proposition that still requires prospective evidence.</w:t>
            </w:r>
          </w:p>
        </w:tc>
      </w:tr>
      <w:tr>
        <w:tc>
          <w:tcPr>
            <w:tcW w:type="dxa" w:w="1007"/>
            <w:shd w:fill="6B46A1"/>
            <w:tcMar>
              <w:top w:w="75" w:type="dxa"/>
              <w:start w:w="75" w:type="dxa"/>
              <w:bottom w:w="75" w:type="dxa"/>
              <w:end w:w="75" w:type="dxa"/>
            </w:tcMar>
          </w:tcPr>
          <w:p>
            <w:pPr>
              <w:keepNext w:val="0"/>
              <w:keepLines w:val="0"/>
              <w:widowControl/>
              <w:spacing w:before="0" w:after="0" w:line="240" w:lineRule="auto"/>
              <w:jc w:val="center"/>
            </w:pPr>
            <w:r>
              <w:rPr>
                <w:rFonts w:ascii="Lato" w:hAnsi="Lato"/>
                <w:b/>
                <w:i w:val="0"/>
                <w:color w:val="FFFFFF"/>
                <w:sz w:val="18"/>
              </w:rPr>
              <w:t>EXP</w:t>
            </w:r>
          </w:p>
        </w:tc>
        <w:tc>
          <w:tcPr>
            <w:tcW w:type="dxa" w:w="8568"/>
            <w:shd w:fill="F1EBF8"/>
            <w:tcMar>
              <w:top w:w="75" w:type="dxa"/>
              <w:start w:w="100" w:type="dxa"/>
              <w:bottom w:w="75" w:type="dxa"/>
              <w:end w:w="100" w:type="dxa"/>
            </w:tcMar>
          </w:tcPr>
          <w:p>
            <w:pPr>
              <w:keepNext w:val="0"/>
              <w:keepLines w:val="0"/>
              <w:widowControl/>
              <w:spacing w:before="0" w:after="0" w:line="252" w:lineRule="auto"/>
            </w:pPr>
            <w:r>
              <w:rPr>
                <w:rFonts w:ascii="Lato" w:hAnsi="Lato"/>
                <w:b/>
                <w:i w:val="0"/>
                <w:color w:val="1E2933"/>
                <w:sz w:val="18"/>
              </w:rPr>
              <w:t xml:space="preserve">Proposed Carbon experiment : </w:t>
            </w:r>
            <w:r>
              <w:rPr>
                <w:rFonts w:ascii="Inter" w:hAnsi="Inter"/>
                <w:b w:val="0"/>
                <w:i w:val="0"/>
                <w:color w:val="1E2933"/>
                <w:sz w:val="17"/>
              </w:rPr>
              <w:t>A registered study designed to resolve a stated uncertainty.</w:t>
            </w:r>
          </w:p>
        </w:tc>
      </w:tr>
      <w:tr>
        <w:tc>
          <w:tcPr>
            <w:tcW w:type="dxa" w:w="1007"/>
            <w:shd w:fill="2F855A"/>
            <w:tcMar>
              <w:top w:w="75" w:type="dxa"/>
              <w:start w:w="75" w:type="dxa"/>
              <w:bottom w:w="75" w:type="dxa"/>
              <w:end w:w="75" w:type="dxa"/>
            </w:tcMar>
          </w:tcPr>
          <w:p>
            <w:pPr>
              <w:keepNext w:val="0"/>
              <w:keepLines w:val="0"/>
              <w:widowControl/>
              <w:spacing w:before="0" w:after="0" w:line="240" w:lineRule="auto"/>
              <w:jc w:val="center"/>
            </w:pPr>
            <w:r>
              <w:rPr>
                <w:rFonts w:ascii="Lato" w:hAnsi="Lato"/>
                <w:b/>
                <w:i w:val="0"/>
                <w:color w:val="FFFFFF"/>
                <w:sz w:val="18"/>
              </w:rPr>
              <w:t>QCE</w:t>
            </w:r>
          </w:p>
        </w:tc>
        <w:tc>
          <w:tcPr>
            <w:tcW w:type="dxa" w:w="8568"/>
            <w:shd w:fill="EAF5EE"/>
            <w:tcMar>
              <w:top w:w="75" w:type="dxa"/>
              <w:start w:w="100" w:type="dxa"/>
              <w:bottom w:w="75" w:type="dxa"/>
              <w:end w:w="100" w:type="dxa"/>
            </w:tcMar>
          </w:tcPr>
          <w:p>
            <w:pPr>
              <w:keepNext w:val="0"/>
              <w:keepLines w:val="0"/>
              <w:widowControl/>
              <w:spacing w:before="0" w:after="0" w:line="252" w:lineRule="auto"/>
            </w:pPr>
            <w:r>
              <w:rPr>
                <w:rFonts w:ascii="Lato" w:hAnsi="Lato"/>
                <w:b/>
                <w:i w:val="0"/>
                <w:color w:val="1E2933"/>
                <w:sz w:val="18"/>
              </w:rPr>
              <w:t xml:space="preserve">Qualified Carbon evidence : </w:t>
            </w:r>
            <w:r>
              <w:rPr>
                <w:rFonts w:ascii="Inter" w:hAnsi="Inter"/>
                <w:b w:val="0"/>
                <w:i w:val="0"/>
                <w:color w:val="1E2933"/>
                <w:sz w:val="17"/>
              </w:rPr>
              <w:t>Evidence that has passed the applicable Carbon qualification path for the exact identity and scope.</w:t>
            </w:r>
          </w:p>
        </w:tc>
      </w:tr>
    </w:tbl>
    <w:p>
      <w:pPr>
        <w:keepNext w:val="0"/>
        <w:keepLines w:val="0"/>
        <w:widowControl/>
        <w:spacing w:before="300" w:after="80" w:line="269" w:lineRule="auto"/>
      </w:pPr>
      <w:r>
        <w:rPr>
          <w:rFonts w:ascii="Inter" w:hAnsi="Inter"/>
          <w:b/>
          <w:i w:val="0"/>
          <w:color w:val="B7791F"/>
          <w:sz w:val="19"/>
        </w:rPr>
        <w:t>Thermal transport and laminar conjugate heat transfer are treated throughout as a commercial wedge hypothesis. Customer discovery and a qualified ValidationPack/Product Battery must adjudicate that hypothesis.</w:t>
      </w:r>
    </w:p>
    <w:p>
      <w:r>
        <w:br w:type="page"/>
      </w:r>
    </w:p>
    <w:p>
      <w:pPr>
        <w:keepNext/>
        <w:keepLines w:val="0"/>
        <w:widowControl/>
        <w:spacing w:before="200" w:after="100" w:line="240" w:lineRule="auto"/>
      </w:pPr>
      <w:r>
        <w:rPr>
          <w:rFonts w:ascii="Lato" w:hAnsi="Lato"/>
          <w:b/>
          <w:i w:val="0"/>
          <w:color w:val="177E89"/>
          <w:sz w:val="21"/>
        </w:rPr>
        <w:t>0</w:t>
      </w:r>
      <w:r>
        <w:rPr>
          <w:rFonts w:ascii="Lato" w:hAnsi="Lato"/>
          <w:b/>
          <w:i w:val="0"/>
          <w:color w:val="19344A"/>
          <w:sz w:val="36"/>
        </w:rPr>
        <w:t xml:space="preserve">  Document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64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w:t>
            </w:r>
          </w:p>
        </w:tc>
        <w:tc>
          <w:tcPr>
            <w:tcW w:type="dxa" w:w="288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Section</w:t>
            </w:r>
          </w:p>
        </w:tc>
        <w:tc>
          <w:tcPr>
            <w:tcW w:type="dxa" w:w="604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Purpose</w:t>
            </w:r>
          </w:p>
        </w:tc>
      </w:tr>
      <w:tr>
        <w:trPr>
          <w:cantSplit/>
        </w:trPr>
        <w:tc>
          <w:tcPr>
            <w:tcW w:type="dxa" w:w="6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1</w:t>
            </w:r>
          </w:p>
        </w:tc>
        <w:tc>
          <w:tcPr>
            <w:tcW w:type="dxa" w:w="28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Executive decision brief</w:t>
            </w:r>
          </w:p>
        </w:tc>
        <w:tc>
          <w:tcPr>
            <w:tcW w:type="dxa" w:w="60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What Carbon should sell first, where science is strongest, and what remains uncertain.</w:t>
            </w:r>
          </w:p>
        </w:tc>
      </w:tr>
      <w:tr>
        <w:trPr>
          <w:cantSplit/>
        </w:trPr>
        <w:tc>
          <w:tcPr>
            <w:tcW w:type="dxa" w:w="6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2</w:t>
            </w:r>
          </w:p>
        </w:tc>
        <w:tc>
          <w:tcPr>
            <w:tcW w:type="dxa" w:w="28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Scientific operating doctrine</w:t>
            </w:r>
          </w:p>
        </w:tc>
        <w:tc>
          <w:tcPr>
            <w:tcW w:type="dxa" w:w="60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Evidence labels, exam qualification, claim boundaries and GTM implications.</w:t>
            </w:r>
          </w:p>
        </w:tc>
      </w:tr>
      <w:tr>
        <w:trPr>
          <w:cantSplit/>
        </w:trPr>
        <w:tc>
          <w:tcPr>
            <w:tcW w:type="dxa" w:w="6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3</w:t>
            </w:r>
          </w:p>
        </w:tc>
        <w:tc>
          <w:tcPr>
            <w:tcW w:type="dxa" w:w="28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Reference strategy landscape</w:t>
            </w:r>
          </w:p>
        </w:tc>
        <w:tc>
          <w:tcPr>
            <w:tcW w:type="dxa" w:w="60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Cole–Hopf-style references, exact islands, numerical references and qualification classes.</w:t>
            </w:r>
          </w:p>
        </w:tc>
      </w:tr>
      <w:tr>
        <w:trPr>
          <w:cantSplit/>
        </w:trPr>
        <w:tc>
          <w:tcPr>
            <w:tcW w:type="dxa" w:w="6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4</w:t>
            </w:r>
          </w:p>
        </w:tc>
        <w:tc>
          <w:tcPr>
            <w:tcW w:type="dxa" w:w="28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Method of Manufactured Solutions</w:t>
            </w:r>
          </w:p>
        </w:tc>
        <w:tc>
          <w:tcPr>
            <w:tcW w:type="dxa" w:w="60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What MMS proves, what it cannot prove, and a Carbon MMS Factory.</w:t>
            </w:r>
          </w:p>
        </w:tc>
      </w:tr>
      <w:tr>
        <w:trPr>
          <w:cantSplit/>
        </w:trPr>
        <w:tc>
          <w:tcPr>
            <w:tcW w:type="dxa" w:w="6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5</w:t>
            </w:r>
          </w:p>
        </w:tc>
        <w:tc>
          <w:tcPr>
            <w:tcW w:type="dxa" w:w="28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Neural-operator and hybrid-solver SOTA</w:t>
            </w:r>
          </w:p>
        </w:tc>
        <w:tc>
          <w:tcPr>
            <w:tcW w:type="dxa" w:w="60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PINO, MMS-trained operators, warm starts, preconditioners, domain decomposition and fallback.</w:t>
            </w:r>
          </w:p>
        </w:tc>
      </w:tr>
      <w:tr>
        <w:trPr>
          <w:cantSplit/>
        </w:trPr>
        <w:tc>
          <w:tcPr>
            <w:tcW w:type="dxa" w:w="6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6</w:t>
            </w:r>
          </w:p>
        </w:tc>
        <w:tc>
          <w:tcPr>
            <w:tcW w:type="dxa" w:w="28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GTM product architecture</w:t>
            </w:r>
          </w:p>
        </w:tc>
        <w:tc>
          <w:tcPr>
            <w:tcW w:type="dxa" w:w="60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Qualified surrogate, qualified solver accelerator, ValidationPack and sponsored Challenge patterns.</w:t>
            </w:r>
          </w:p>
        </w:tc>
      </w:tr>
      <w:tr>
        <w:trPr>
          <w:cantSplit/>
        </w:trPr>
        <w:tc>
          <w:tcPr>
            <w:tcW w:type="dxa" w:w="6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7</w:t>
            </w:r>
          </w:p>
        </w:tc>
        <w:tc>
          <w:tcPr>
            <w:tcW w:type="dxa" w:w="28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Opportunity portfolio</w:t>
            </w:r>
          </w:p>
        </w:tc>
        <w:tc>
          <w:tcPr>
            <w:tcW w:type="dxa" w:w="60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Reference tractability versus engineering pull and customer sequencing.</w:t>
            </w:r>
          </w:p>
        </w:tc>
      </w:tr>
      <w:tr>
        <w:trPr>
          <w:cantSplit/>
        </w:trPr>
        <w:tc>
          <w:tcPr>
            <w:tcW w:type="dxa" w:w="6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8</w:t>
            </w:r>
          </w:p>
        </w:tc>
        <w:tc>
          <w:tcPr>
            <w:tcW w:type="dxa" w:w="28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Comprehensive problem matrix</w:t>
            </w:r>
          </w:p>
        </w:tc>
        <w:tc>
          <w:tcPr>
            <w:tcW w:type="dxa" w:w="60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Major engineering regimes, use cases, reference path, MMS role, hybrid pattern, risk and Carbon stage.</w:t>
            </w:r>
          </w:p>
        </w:tc>
      </w:tr>
      <w:tr>
        <w:trPr>
          <w:cantSplit/>
        </w:trPr>
        <w:tc>
          <w:tcPr>
            <w:tcW w:type="dxa" w:w="6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9</w:t>
            </w:r>
          </w:p>
        </w:tc>
        <w:tc>
          <w:tcPr>
            <w:tcW w:type="dxa" w:w="28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Carbon execution requirements</w:t>
            </w:r>
          </w:p>
        </w:tc>
        <w:tc>
          <w:tcPr>
            <w:tcW w:type="dxa" w:w="60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Challenge, generator, reference, measurement, scoring and product evidence requirements.</w:t>
            </w:r>
          </w:p>
        </w:tc>
      </w:tr>
      <w:tr>
        <w:trPr>
          <w:cantSplit/>
        </w:trPr>
        <w:tc>
          <w:tcPr>
            <w:tcW w:type="dxa" w:w="6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10</w:t>
            </w:r>
          </w:p>
        </w:tc>
        <w:tc>
          <w:tcPr>
            <w:tcW w:type="dxa" w:w="28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Proposed research program</w:t>
            </w:r>
          </w:p>
        </w:tc>
        <w:tc>
          <w:tcPr>
            <w:tcW w:type="dxa" w:w="60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Experiments that can convert the register into qualified Carbon evidence.</w:t>
            </w:r>
          </w:p>
        </w:tc>
      </w:tr>
      <w:tr>
        <w:trPr>
          <w:cantSplit/>
        </w:trPr>
        <w:tc>
          <w:tcPr>
            <w:tcW w:type="dxa" w:w="6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11</w:t>
            </w:r>
          </w:p>
        </w:tc>
        <w:tc>
          <w:tcPr>
            <w:tcW w:type="dxa" w:w="28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Thermal / laminar CHT wedge hypothesis</w:t>
            </w:r>
          </w:p>
        </w:tc>
        <w:tc>
          <w:tcPr>
            <w:tcW w:type="dxa" w:w="60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A staged evidence path without promoting the wedge to a settled decision.</w:t>
            </w:r>
          </w:p>
        </w:tc>
      </w:tr>
      <w:tr>
        <w:trPr>
          <w:cantSplit/>
        </w:trPr>
        <w:tc>
          <w:tcPr>
            <w:tcW w:type="dxa" w:w="6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12</w:t>
            </w:r>
          </w:p>
        </w:tc>
        <w:tc>
          <w:tcPr>
            <w:tcW w:type="dxa" w:w="28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Sources and evidence ledger</w:t>
            </w:r>
          </w:p>
        </w:tc>
        <w:tc>
          <w:tcPr>
            <w:tcW w:type="dxa" w:w="60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Carbon authority documents and external primary/reproducible sources.</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080"/>
            <w:shd w:fill="FBF4E5"/>
            <w:tcBorders>
              <w:top w:sz="8" w:val="single" w:color="B7791F"/>
              <w:left w:sz="18" w:val="single" w:color="B7791F"/>
              <w:bottom w:sz="8" w:val="single" w:color="B7791F"/>
              <w:right w:sz="8" w:val="single" w:color="B7791F"/>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B7791F"/>
                <w:sz w:val="19"/>
              </w:rPr>
              <w:t xml:space="preserve">Reading rule  </w:t>
            </w:r>
            <w:r>
              <w:rPr>
                <w:rFonts w:ascii="Inter" w:hAnsi="Inter"/>
                <w:b w:val="0"/>
                <w:i w:val="0"/>
                <w:color w:val="1E2933"/>
                <w:sz w:val="18"/>
              </w:rPr>
              <w:t>The matrix is a research register. Its Q, cost, hidden-instance and GTM ratings are Carbon hypotheses. They are not production thresholds, qualification criteria, market facts, or claims of physical validity.</w:t>
            </w:r>
          </w:p>
        </w:tc>
        <w:trPr>
          <w:tblHeader/>
        </w:trPr>
      </w:tr>
    </w:tbl>
    <w:p>
      <w:pPr>
        <w:spacing w:after="20"/>
      </w:pPr>
    </w:p>
    <w:p>
      <w:pPr>
        <w:keepNext/>
        <w:keepLines w:val="0"/>
        <w:widowControl/>
        <w:spacing w:before="200" w:after="100" w:line="240" w:lineRule="auto"/>
      </w:pPr>
      <w:r>
        <w:rPr>
          <w:rFonts w:ascii="Lato" w:hAnsi="Lato"/>
          <w:b/>
          <w:i w:val="0"/>
          <w:color w:val="177E89"/>
          <w:sz w:val="21"/>
        </w:rPr>
        <w:t>1</w:t>
      </w:r>
      <w:r>
        <w:rPr>
          <w:rFonts w:ascii="Lato" w:hAnsi="Lato"/>
          <w:b/>
          <w:i w:val="0"/>
          <w:color w:val="19344A"/>
          <w:sz w:val="36"/>
        </w:rPr>
        <w:t xml:space="preserve">  Executive decision brief</w:t>
      </w:r>
    </w:p>
    <w:p>
      <w:pPr>
        <w:keepNext/>
        <w:keepLines w:val="0"/>
        <w:widowControl/>
        <w:spacing w:before="0" w:after="160" w:line="259" w:lineRule="auto"/>
      </w:pPr>
      <w:r>
        <w:rPr>
          <w:rFonts w:ascii="Inter" w:hAnsi="Inter"/>
          <w:b w:val="0"/>
          <w:i/>
          <w:color w:val="5A6872"/>
          <w:sz w:val="18"/>
        </w:rPr>
        <w:t>A GTM plan built around bounded evidence rather than universal surrogate claims.</w:t>
      </w:r>
    </w:p>
    <w:tbl>
      <w:tblPr>
        <w:tblW w:type="auto" w:w="0"/>
        <w:jc w:val="center"/>
        <w:tblLayout w:type="fixed"/>
        <w:tblLook w:firstColumn="1" w:firstRow="1" w:lastColumn="0" w:lastRow="0" w:noHBand="0" w:noVBand="1" w:val="04A0"/>
      </w:tblPr>
      <w:tblGrid>
        <w:gridCol w:w="10080"/>
      </w:tblGrid>
      <w:tr>
        <w:tc>
          <w:tcPr>
            <w:tcW w:type="dxa" w:w="10080"/>
            <w:shd w:fill="E7F4F4"/>
            <w:tcBorders>
              <w:top w:sz="8" w:val="single" w:color="177E89"/>
              <w:left w:sz="18" w:val="single" w:color="177E89"/>
              <w:bottom w:sz="8" w:val="single" w:color="177E89"/>
              <w:right w:sz="8" w:val="single" w:color="177E89"/>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0F5961"/>
                <w:sz w:val="19"/>
              </w:rPr>
              <w:t xml:space="preserve">Core GTM thesis  </w:t>
            </w:r>
            <w:r>
              <w:rPr>
                <w:rFonts w:ascii="Inter" w:hAnsi="Inter"/>
                <w:b w:val="0"/>
                <w:i w:val="0"/>
                <w:color w:val="1E2933"/>
                <w:sz w:val="18"/>
              </w:rPr>
              <w:t>Carbon should enter the market as a builder and qualifier of fast physical models, with a classical solver or experimental escalation path where the reference burden is high. “Accelerates a qualified solver inside a declared envelope” is easier to defend than “replaces simulation.”</w:t>
            </w:r>
          </w:p>
        </w:tc>
        <w:trPr>
          <w:tblHeader/>
        </w:trPr>
      </w:tr>
    </w:tbl>
    <w:p>
      <w:pPr>
        <w:spacing w:after="20"/>
      </w:pPr>
    </w:p>
    <w:p>
      <w:pPr>
        <w:pStyle w:val="Heading2"/>
        <w:keepNext/>
        <w:keepLines w:val="0"/>
        <w:widowControl/>
        <w:spacing w:before="140" w:after="80" w:line="240" w:lineRule="auto"/>
      </w:pPr>
      <w:r>
        <w:rPr>
          <w:rFonts w:ascii="Lato" w:hAnsi="Lato"/>
          <w:b/>
          <w:i w:val="0"/>
          <w:color w:val="19344A"/>
          <w:sz w:val="24"/>
        </w:rPr>
        <w:t>1.1 Recommended commercial sequence</w:t>
      </w:r>
    </w:p>
    <w:p>
      <w:pPr>
        <w:pStyle w:val="ListNumber"/>
        <w:keepNext w:val="0"/>
        <w:keepLines w:val="0"/>
        <w:widowControl/>
        <w:spacing w:before="0" w:after="60" w:line="252" w:lineRule="auto"/>
      </w:pPr>
      <w:r>
        <w:rPr>
          <w:rFonts w:ascii="Inter" w:hAnsi="Inter"/>
          <w:b w:val="0"/>
          <w:i w:val="0"/>
          <w:color w:val="1E2933"/>
          <w:sz w:val="18"/>
        </w:rPr>
        <w:t>Prove the judge on Burgers, Poisson and diffusion. These regimes exercise different reference structures: nonlinear transformation, elliptic exact/numerical reference, and transient analytic/numerical reference. [C1–C5]</w:t>
      </w:r>
    </w:p>
    <w:p>
      <w:pPr>
        <w:pStyle w:val="ListNumber"/>
        <w:keepNext w:val="0"/>
        <w:keepLines w:val="0"/>
        <w:widowControl/>
        <w:spacing w:before="0" w:after="60" w:line="252" w:lineRule="auto"/>
      </w:pPr>
      <w:r>
        <w:rPr>
          <w:rFonts w:ascii="Inter" w:hAnsi="Inter"/>
          <w:b w:val="0"/>
          <w:i w:val="0"/>
          <w:color w:val="1E2933"/>
          <w:sz w:val="18"/>
        </w:rPr>
        <w:t>Build a reference-rich commercial portfolio around thermal conduction, nonlinear conduction, Poisson/electrostatics, linear elasticity, acoustics/vibration and Darcy flow. These regimes support many-query design work and comparatively strong hidden reference generation. [CH]</w:t>
      </w:r>
    </w:p>
    <w:p>
      <w:pPr>
        <w:pStyle w:val="ListNumber"/>
        <w:keepNext w:val="0"/>
        <w:keepLines w:val="0"/>
        <w:widowControl/>
        <w:spacing w:before="0" w:after="60" w:line="252" w:lineRule="auto"/>
      </w:pPr>
      <w:r>
        <w:rPr>
          <w:rFonts w:ascii="Inter" w:hAnsi="Inter"/>
          <w:b w:val="0"/>
          <w:i w:val="0"/>
          <w:color w:val="1E2933"/>
          <w:sz w:val="18"/>
        </w:rPr>
        <w:t>Test the thermal-to-laminar-CHT wedge through customer discovery while progressing from conduction to nonlinear conduction, interfaces, extended Graetz problems, canonical CHT and customer-specific CHT. Do not treat canonical Challenge success as product qualification. [CH,EXP]</w:t>
      </w:r>
    </w:p>
    <w:p>
      <w:pPr>
        <w:pStyle w:val="ListNumber"/>
        <w:keepNext w:val="0"/>
        <w:keepLines w:val="0"/>
        <w:widowControl/>
        <w:spacing w:before="0" w:after="60" w:line="252" w:lineRule="auto"/>
      </w:pPr>
      <w:r>
        <w:rPr>
          <w:rFonts w:ascii="Inter" w:hAnsi="Inter"/>
          <w:b w:val="0"/>
          <w:i w:val="0"/>
          <w:color w:val="1E2933"/>
          <w:sz w:val="18"/>
        </w:rPr>
        <w:t>Offer solver acceleration before full replacement in general CFD, Maxwell, nonlinear solids and other hard regimes. Warm starts, learned coarse corrections, local operators and defect correction preserve a numerical outer loop that can enforce a registered discrete residual. [EXT,CH]</w:t>
      </w:r>
    </w:p>
    <w:p>
      <w:pPr>
        <w:pStyle w:val="ListNumber"/>
        <w:keepNext w:val="0"/>
        <w:keepLines w:val="0"/>
        <w:widowControl/>
        <w:spacing w:before="0" w:after="60" w:line="252" w:lineRule="auto"/>
      </w:pPr>
      <w:r>
        <w:rPr>
          <w:rFonts w:ascii="Inter" w:hAnsi="Inter"/>
          <w:b w:val="0"/>
          <w:i w:val="0"/>
          <w:color w:val="1E2933"/>
          <w:sz w:val="18"/>
        </w:rPr>
        <w:t>Enter turbulence, combustion, boiling, fracture, FSI, batteries and other model-form-heavy systems only with a partner who contributes a narrow context of use, qualify-able reference assets, experiments or enough commercial value to fund the validation burden. [CH]</w:t>
      </w:r>
    </w:p>
    <w:p>
      <w:pPr>
        <w:pStyle w:val="Heading2"/>
        <w:keepNext/>
        <w:keepLines w:val="0"/>
        <w:widowControl/>
        <w:spacing w:before="140" w:after="80" w:line="240" w:lineRule="auto"/>
      </w:pPr>
      <w:r>
        <w:rPr>
          <w:rFonts w:ascii="Lato" w:hAnsi="Lato"/>
          <w:b/>
          <w:i w:val="0"/>
          <w:color w:val="19344A"/>
          <w:sz w:val="24"/>
        </w:rPr>
        <w:t>1.2 Four product archetypes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Product pattern</w:t>
            </w:r>
          </w:p>
        </w:tc>
        <w:tc>
          <w:tcPr>
            <w:tcW w:type="dxa" w:w="223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Customer value</w:t>
            </w:r>
          </w:p>
        </w:tc>
        <w:tc>
          <w:tcPr>
            <w:tcW w:type="dxa" w:w="230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Best early fit</w:t>
            </w:r>
          </w:p>
        </w:tc>
        <w:tc>
          <w:tcPr>
            <w:tcW w:type="dxa" w:w="324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Scientific burden</w:t>
            </w:r>
          </w:p>
        </w:tc>
      </w:tr>
      <w:tr>
        <w:trPr>
          <w:cantSplit/>
        </w:trPr>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Qualified fast surrogate</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free-running operator for a narrow, reference-rich envelope.</w:t>
            </w:r>
          </w:p>
        </w:tc>
        <w:tc>
          <w:tcPr>
            <w:tcW w:type="dxa" w:w="230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Poisson, conduction, selected elasticity, canonical waves.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Exact/strong reference, hard gates, OOD rejection and escalation.</w:t>
            </w:r>
          </w:p>
        </w:tc>
      </w:tr>
      <w:tr>
        <w:trPr>
          <w:cantSplit/>
        </w:trPr>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Qualified solver accelerator</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neural operator warms, preconditions, corrects or decomposes a classical solver.</w:t>
            </w:r>
          </w:p>
        </w:tc>
        <w:tc>
          <w:tcPr>
            <w:tcW w:type="dxa" w:w="230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CFD, Maxwell, nonlinear solids, porous flow, CHT.</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End-to-end speedup, residual convergence, safe fallback, spectrum/conditioning evidence.</w:t>
            </w:r>
          </w:p>
        </w:tc>
      </w:tr>
      <w:tr>
        <w:trPr>
          <w:cantSplit/>
        </w:trPr>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ValidationPack / reference qualification</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versioned evidence package that qualifies task population, generator, reference, measurements and resolution.</w:t>
            </w:r>
          </w:p>
        </w:tc>
        <w:tc>
          <w:tcPr>
            <w:tcW w:type="dxa" w:w="230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Customer-owned solvers, sponsored Challenges, internal CAE acceleration.</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Independent witness, convergence, uncertainty, censoring, context of use.</w:t>
            </w:r>
          </w:p>
        </w:tc>
      </w:tr>
      <w:tr>
        <w:trPr>
          <w:cantSplit/>
        </w:trPr>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Sponsored construction search</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Carbon opens controlled competition over how to construct the fast model, then independently evaluates it.</w:t>
            </w:r>
          </w:p>
        </w:tc>
        <w:tc>
          <w:tcPr>
            <w:tcW w:type="dxa" w:w="230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High-value problems with defined customer jobs and a reference path.</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Protected common exam, rank/evidence separation, Product Battery before deployment.</w:t>
            </w:r>
          </w:p>
        </w:tc>
      </w:tr>
    </w:tbl>
    <w:p>
      <w:pPr>
        <w:spacing w:after="20"/>
      </w:pPr>
    </w:p>
    <w:p>
      <w:pPr>
        <w:pStyle w:val="Heading2"/>
        <w:keepNext/>
        <w:keepLines w:val="0"/>
        <w:widowControl/>
        <w:spacing w:before="140" w:after="80" w:line="240" w:lineRule="auto"/>
      </w:pPr>
      <w:r>
        <w:rPr>
          <w:rFonts w:ascii="Lato" w:hAnsi="Lato"/>
          <w:b/>
          <w:i w:val="0"/>
          <w:color w:val="19344A"/>
          <w:sz w:val="24"/>
        </w:rPr>
        <w:t>1.3 What Carbon should not sell yet</w:t>
      </w:r>
    </w:p>
    <w:p>
      <w:pPr>
        <w:pStyle w:val="ListBullet"/>
        <w:keepNext w:val="0"/>
        <w:keepLines w:val="0"/>
        <w:widowControl/>
        <w:spacing w:before="0" w:after="50" w:line="250" w:lineRule="auto"/>
      </w:pPr>
      <w:r>
        <w:rPr>
          <w:rFonts w:ascii="Inter" w:hAnsi="Inter"/>
          <w:b w:val="0"/>
          <w:i w:val="0"/>
          <w:color w:val="1E2933"/>
          <w:sz w:val="18"/>
        </w:rPr>
        <w:t>A universal physics model or universal “truth oracle.” Reference authority remains Challenge-specific. [C1,C3,C10]</w:t>
      </w:r>
    </w:p>
    <w:p>
      <w:pPr>
        <w:pStyle w:val="ListBullet"/>
        <w:keepNext w:val="0"/>
        <w:keepLines w:val="0"/>
        <w:widowControl/>
        <w:spacing w:before="0" w:after="50" w:line="250" w:lineRule="auto"/>
      </w:pPr>
      <w:r>
        <w:rPr>
          <w:rFonts w:ascii="Inter" w:hAnsi="Inter"/>
          <w:b w:val="0"/>
          <w:i w:val="0"/>
          <w:color w:val="1E2933"/>
          <w:sz w:val="18"/>
        </w:rPr>
        <w:t>A claim that low benchmark loss equals engineering credibility. Physical admissibility, uncertainty, context of use and escalation remain separate. [C1,C8]</w:t>
      </w:r>
    </w:p>
    <w:p>
      <w:pPr>
        <w:pStyle w:val="ListBullet"/>
        <w:keepNext w:val="0"/>
        <w:keepLines w:val="0"/>
        <w:widowControl/>
        <w:spacing w:before="0" w:after="50" w:line="250" w:lineRule="auto"/>
      </w:pPr>
      <w:r>
        <w:rPr>
          <w:rFonts w:ascii="Inter" w:hAnsi="Inter"/>
          <w:b w:val="0"/>
          <w:i w:val="0"/>
          <w:color w:val="1E2933"/>
          <w:sz w:val="18"/>
        </w:rPr>
        <w:t>A product certificate derived from leaderboard rank. Rank nominates; the Product Battery and Qualification Record qualify. [C8]</w:t>
      </w:r>
    </w:p>
    <w:p>
      <w:pPr>
        <w:pStyle w:val="ListBullet"/>
        <w:keepNext w:val="0"/>
        <w:keepLines w:val="0"/>
        <w:widowControl/>
        <w:spacing w:before="0" w:after="50" w:line="250" w:lineRule="auto"/>
      </w:pPr>
      <w:r>
        <w:rPr>
          <w:rFonts w:ascii="Inter" w:hAnsi="Inter"/>
          <w:b w:val="0"/>
          <w:i w:val="0"/>
          <w:color w:val="1E2933"/>
          <w:sz w:val="18"/>
        </w:rPr>
        <w:t>A thermal/CHT product decision before customer and ValidationPack evidence. [CH]</w:t>
      </w:r>
    </w:p>
    <w:p>
      <w:pPr>
        <w:pStyle w:val="ListBullet"/>
        <w:keepNext w:val="0"/>
        <w:keepLines w:val="0"/>
        <w:widowControl/>
        <w:spacing w:before="0" w:after="50" w:line="250" w:lineRule="auto"/>
      </w:pPr>
      <w:r>
        <w:rPr>
          <w:rFonts w:ascii="Inter" w:hAnsi="Inter"/>
          <w:b w:val="0"/>
          <w:i w:val="0"/>
          <w:color w:val="1E2933"/>
          <w:sz w:val="18"/>
        </w:rPr>
        <w:t>A hard-regime surrogate whose only safety story is average field error. Nonlinear solver warm starts, shocks, contact, fracture and topology change require local/spectral/physical checks. [E14]</w:t>
      </w:r>
    </w:p>
    <w:p>
      <w:pPr>
        <w:keepNext w:val="0"/>
        <w:keepLines w:val="0"/>
        <w:widowControl/>
        <w:spacing w:before="60" w:after="20" w:line="240" w:lineRule="auto"/>
        <w:jc w:val="center"/>
      </w:pPr>
      <w:r>
        <w:drawing>
          <wp:inline xmlns:a="http://schemas.openxmlformats.org/drawingml/2006/main" xmlns:pic="http://schemas.openxmlformats.org/drawingml/2006/picture">
            <wp:extent cx="5989320" cy="3592533"/>
            <wp:docPr id="1" name="Picture 1" title="Figure 1. Opportunity map for selected regimes." descr="Scatter plot with qualification difficulty on the x-axis, hypothesized engineering pull on the y-axis and hidden-instance suitability represented by marker size."/>
            <wp:cNvGraphicFramePr>
              <a:graphicFrameLocks noChangeAspect="1"/>
            </wp:cNvGraphicFramePr>
            <a:graphic>
              <a:graphicData uri="http://schemas.openxmlformats.org/drawingml/2006/picture">
                <pic:pic>
                  <pic:nvPicPr>
                    <pic:cNvPr id="0" name="gtm_scatter.png"/>
                    <pic:cNvPicPr/>
                  </pic:nvPicPr>
                  <pic:blipFill>
                    <a:blip r:embed="rId11"/>
                    <a:stretch>
                      <a:fillRect/>
                    </a:stretch>
                  </pic:blipFill>
                  <pic:spPr>
                    <a:xfrm>
                      <a:off x="0" y="0"/>
                      <a:ext cx="5989320" cy="3592533"/>
                    </a:xfrm>
                    <a:prstGeom prst="rect"/>
                  </pic:spPr>
                </pic:pic>
              </a:graphicData>
            </a:graphic>
          </wp:inline>
        </w:drawing>
      </w:r>
    </w:p>
    <w:p>
      <w:pPr>
        <w:keepNext w:val="0"/>
        <w:keepLines w:val="0"/>
        <w:widowControl/>
        <w:spacing w:before="40" w:after="140" w:line="240" w:lineRule="auto"/>
        <w:jc w:val="center"/>
      </w:pPr>
      <w:r>
        <w:rPr>
          <w:rFonts w:ascii="Inter" w:hAnsi="Inter"/>
          <w:b w:val="0"/>
          <w:i/>
          <w:color w:val="5A6872"/>
          <w:sz w:val="16"/>
        </w:rPr>
        <w:t>Figure 1. Opportunity map for selected regimes.</w:t>
      </w:r>
    </w:p>
    <w:p>
      <w:pPr>
        <w:keepNext/>
        <w:keepLines w:val="0"/>
        <w:widowControl/>
        <w:spacing w:before="200" w:after="100" w:line="240" w:lineRule="auto"/>
      </w:pPr>
      <w:r>
        <w:rPr>
          <w:rFonts w:ascii="Lato" w:hAnsi="Lato"/>
          <w:b/>
          <w:i w:val="0"/>
          <w:color w:val="177E89"/>
          <w:sz w:val="21"/>
        </w:rPr>
        <w:t>2</w:t>
      </w:r>
      <w:r>
        <w:rPr>
          <w:rFonts w:ascii="Lato" w:hAnsi="Lato"/>
          <w:b/>
          <w:i w:val="0"/>
          <w:color w:val="19344A"/>
          <w:sz w:val="36"/>
        </w:rPr>
        <w:t xml:space="preserve">  Scientific operating doctrine</w:t>
      </w:r>
    </w:p>
    <w:p>
      <w:pPr>
        <w:keepNext/>
        <w:keepLines w:val="0"/>
        <w:widowControl/>
        <w:spacing w:before="0" w:after="160" w:line="259" w:lineRule="auto"/>
      </w:pPr>
      <w:r>
        <w:rPr>
          <w:rFonts w:ascii="Inter" w:hAnsi="Inter"/>
          <w:b w:val="0"/>
          <w:i/>
          <w:color w:val="5A6872"/>
          <w:sz w:val="18"/>
        </w:rPr>
        <w:t>The GTM system inherits Carbon’s scientific constitution.</w:t>
      </w:r>
    </w:p>
    <w:p>
      <w:pPr>
        <w:pStyle w:val="Heading2"/>
        <w:keepNext/>
        <w:keepLines w:val="0"/>
        <w:widowControl/>
        <w:spacing w:before="140" w:after="80" w:line="240" w:lineRule="auto"/>
      </w:pPr>
      <w:r>
        <w:rPr>
          <w:rFonts w:ascii="Lato" w:hAnsi="Lato"/>
          <w:b/>
          <w:i w:val="0"/>
          <w:color w:val="19344A"/>
          <w:sz w:val="24"/>
        </w:rPr>
        <w:t>2.1 Constitutional constraints that shape the offer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Invariant</w:t>
            </w:r>
          </w:p>
        </w:tc>
        <w:tc>
          <w:tcPr>
            <w:tcW w:type="dxa" w:w="3671"/>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Scientific meaning</w:t>
            </w:r>
          </w:p>
        </w:tc>
        <w:tc>
          <w:tcPr>
            <w:tcW w:type="dxa" w:w="3671"/>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GTM consequence</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No layer certifies itself</w:t>
            </w:r>
          </w:p>
        </w:tc>
        <w:tc>
          <w:tcPr>
            <w:tcW w:type="dxa" w:w="367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The producer of a candidate, generator, reference or score policy cannot establish the claim that makes its own output successful.</w:t>
            </w:r>
          </w:p>
        </w:tc>
        <w:tc>
          <w:tcPr>
            <w:tcW w:type="dxa" w:w="367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Use separate case generation, reference realization, dossier review and protected evaluation.</w:t>
            </w:r>
          </w:p>
        </w:tc>
      </w:tr>
      <w:tr>
        <w:trPr>
          <w:cantSplit/>
        </w:trPr>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The exam qualifies first</w:t>
            </w:r>
          </w:p>
        </w:tc>
        <w:tc>
          <w:tcPr>
            <w:tcW w:type="dxa" w:w="367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LIVE exam needs evidence for system, envelope, population, SamplingPlan, generator, reference, representation, measurement, statistics, secrecy and censoring.</w:t>
            </w:r>
          </w:p>
        </w:tc>
        <w:tc>
          <w:tcPr>
            <w:tcW w:type="dxa" w:w="367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Sell evidence-backed task definition, not a benchmark file.</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Admissibility precedes ranking</w:t>
            </w:r>
          </w:p>
        </w:tc>
        <w:tc>
          <w:tcPr>
            <w:tcW w:type="dxa" w:w="367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Mandatory physical failure cannot be compensated by soft accuracy.</w:t>
            </w:r>
          </w:p>
        </w:tc>
        <w:tc>
          <w:tcPr>
            <w:tcW w:type="dxa" w:w="367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Product and Challenge claims need qualified hard gates where the physics justifies them.</w:t>
            </w:r>
          </w:p>
        </w:tc>
      </w:tr>
      <w:tr>
        <w:trPr>
          <w:cantSplit/>
        </w:trPr>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Prospective identity</w:t>
            </w:r>
          </w:p>
        </w:tc>
        <w:tc>
          <w:tcPr>
            <w:tcW w:type="dxa" w:w="367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Task, population, generator, reference, measurement and Score Pack change by new version, not silent mutation.</w:t>
            </w:r>
          </w:p>
        </w:tc>
        <w:tc>
          <w:tcPr>
            <w:tcW w:type="dxa" w:w="367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Customer adaptations and new deployment contexts trigger requalification when policy requires.</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Rank nominates; evidence qualifies</w:t>
            </w:r>
          </w:p>
        </w:tc>
        <w:tc>
          <w:tcPr>
            <w:tcW w:type="dxa" w:w="367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Subnet performance and commercial qualification are independent planes.</w:t>
            </w:r>
          </w:p>
        </w:tc>
        <w:tc>
          <w:tcPr>
            <w:tcW w:type="dxa" w:w="367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winning strategy receives a fresh product artifact and Product Battery.</w:t>
            </w:r>
          </w:p>
        </w:tc>
      </w:tr>
      <w:tr>
        <w:trPr>
          <w:cantSplit/>
        </w:trPr>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Landscape proposes</w:t>
            </w:r>
          </w:p>
        </w:tc>
        <w:tc>
          <w:tcPr>
            <w:tcW w:type="dxa" w:w="367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Retrospective patterns are observed/predictive until a registered experiment promotes them.</w:t>
            </w:r>
          </w:p>
        </w:tc>
        <w:tc>
          <w:tcPr>
            <w:tcW w:type="dxa" w:w="367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Use Physics Intelligence to choose experiments, never to change the ruler after results.</w:t>
            </w:r>
          </w:p>
        </w:tc>
      </w:tr>
    </w:tbl>
    <w:p>
      <w:pPr>
        <w:spacing w:after="20"/>
      </w:pPr>
    </w:p>
    <w:p>
      <w:pPr>
        <w:pStyle w:val="Heading2"/>
        <w:keepNext/>
        <w:keepLines w:val="0"/>
        <w:widowControl/>
        <w:spacing w:before="140" w:after="80" w:line="240" w:lineRule="auto"/>
      </w:pPr>
      <w:r>
        <w:rPr>
          <w:rFonts w:ascii="Lato" w:hAnsi="Lato"/>
          <w:b/>
          <w:i w:val="0"/>
          <w:color w:val="19344A"/>
          <w:sz w:val="24"/>
        </w:rPr>
        <w:t>2.2 Identity of a defensible claim</w:t>
      </w:r>
    </w:p>
    <w:p>
      <w:pPr>
        <w:keepNext w:val="0"/>
        <w:keepLines w:val="0"/>
        <w:widowControl/>
        <w:spacing w:before="0" w:after="80" w:line="259" w:lineRule="auto"/>
      </w:pPr>
      <w:r>
        <w:rPr>
          <w:rFonts w:ascii="Inter" w:hAnsi="Inter"/>
          <w:b w:val="0"/>
          <w:i w:val="0"/>
          <w:color w:val="1E2933"/>
          <w:sz w:val="19"/>
        </w:rPr>
        <w:t>A meaningful claim binds more than a PDE name. Carbon should identify at least:</w:t>
      </w:r>
    </w:p>
    <w:p>
      <w:pPr>
        <w:pStyle w:val="ListBullet"/>
        <w:keepNext w:val="0"/>
        <w:keepLines w:val="0"/>
        <w:widowControl/>
        <w:spacing w:before="0" w:after="50" w:line="250" w:lineRule="auto"/>
      </w:pPr>
      <w:r>
        <w:rPr>
          <w:rFonts w:ascii="Inter" w:hAnsi="Inter"/>
          <w:b w:val="0"/>
          <w:i w:val="0"/>
          <w:color w:val="1E2933"/>
          <w:sz w:val="18"/>
        </w:rPr>
        <w:t>physical system and governing model, including closure or constitutive choices;</w:t>
      </w:r>
    </w:p>
    <w:p>
      <w:pPr>
        <w:pStyle w:val="ListBullet"/>
        <w:keepNext w:val="0"/>
        <w:keepLines w:val="0"/>
        <w:widowControl/>
        <w:spacing w:before="0" w:after="50" w:line="250" w:lineRule="auto"/>
      </w:pPr>
      <w:r>
        <w:rPr>
          <w:rFonts w:ascii="Inter" w:hAnsi="Inter"/>
          <w:b w:val="0"/>
          <w:i w:val="0"/>
          <w:color w:val="1E2933"/>
          <w:sz w:val="18"/>
        </w:rPr>
        <w:t>candidate input/output mapping and representation;</w:t>
      </w:r>
    </w:p>
    <w:p>
      <w:pPr>
        <w:pStyle w:val="ListBullet"/>
        <w:keepNext w:val="0"/>
        <w:keepLines w:val="0"/>
        <w:widowControl/>
        <w:spacing w:before="0" w:after="50" w:line="250" w:lineRule="auto"/>
      </w:pPr>
      <w:r>
        <w:rPr>
          <w:rFonts w:ascii="Inter" w:hAnsi="Inter"/>
          <w:b w:val="0"/>
          <w:i w:val="0"/>
          <w:color w:val="1E2933"/>
          <w:sz w:val="18"/>
        </w:rPr>
        <w:t>operating envelope, explicit exclusions and escalation boundary;</w:t>
      </w:r>
    </w:p>
    <w:p>
      <w:pPr>
        <w:pStyle w:val="ListBullet"/>
        <w:keepNext w:val="0"/>
        <w:keepLines w:val="0"/>
        <w:widowControl/>
        <w:spacing w:before="0" w:after="50" w:line="250" w:lineRule="auto"/>
      </w:pPr>
      <w:r>
        <w:rPr>
          <w:rFonts w:ascii="Inter" w:hAnsi="Inter"/>
          <w:b w:val="0"/>
          <w:i w:val="0"/>
          <w:color w:val="1E2933"/>
          <w:sz w:val="18"/>
        </w:rPr>
        <w:t>target population P(x), finite SamplingPlan Q(x) and evidence weighting w(x);</w:t>
      </w:r>
    </w:p>
    <w:p>
      <w:pPr>
        <w:pStyle w:val="ListBullet"/>
        <w:keepNext w:val="0"/>
        <w:keepLines w:val="0"/>
        <w:widowControl/>
        <w:spacing w:before="0" w:after="50" w:line="250" w:lineRule="auto"/>
      </w:pPr>
      <w:r>
        <w:rPr>
          <w:rFonts w:ascii="Inter" w:hAnsi="Inter"/>
          <w:b w:val="0"/>
          <w:i w:val="0"/>
          <w:color w:val="1E2933"/>
          <w:sz w:val="18"/>
        </w:rPr>
        <w:t>generator, reference policy, measurements, Score Pack and execution environment;</w:t>
      </w:r>
    </w:p>
    <w:p>
      <w:pPr>
        <w:pStyle w:val="ListBullet"/>
        <w:keepNext w:val="0"/>
        <w:keepLines w:val="0"/>
        <w:widowControl/>
        <w:spacing w:before="0" w:after="50" w:line="250" w:lineRule="auto"/>
      </w:pPr>
      <w:r>
        <w:rPr>
          <w:rFonts w:ascii="Inter" w:hAnsi="Inter"/>
          <w:b w:val="0"/>
          <w:i w:val="0"/>
          <w:color w:val="1E2933"/>
          <w:sz w:val="18"/>
        </w:rPr>
        <w:t>product context of use, Product Battery, exact artifact and requalification triggers.</w:t>
      </w:r>
    </w:p>
    <w:tbl>
      <w:tblPr>
        <w:tblW w:type="auto" w:w="0"/>
        <w:jc w:val="center"/>
        <w:tblLayout w:type="fixed"/>
        <w:tblLook w:firstColumn="1" w:firstRow="1" w:lastColumn="0" w:lastRow="0" w:noHBand="0" w:noVBand="1" w:val="04A0"/>
      </w:tblPr>
      <w:tblGrid>
        <w:gridCol w:w="10080"/>
      </w:tblGrid>
      <w:tr>
        <w:tc>
          <w:tcPr>
            <w:tcW w:type="dxa" w:w="10080"/>
            <w:shd w:fill="EAF2F8"/>
            <w:tcBorders>
              <w:top w:sz="8" w:val="single" w:color="2C5F8A"/>
              <w:left w:sz="18" w:val="single" w:color="2C5F8A"/>
              <w:bottom w:sz="8" w:val="single" w:color="2C5F8A"/>
              <w:right w:sz="8" w:val="single" w:color="2C5F8A"/>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2C5F8A"/>
                <w:sz w:val="19"/>
              </w:rPr>
              <w:t xml:space="preserve">Commercial implication  </w:t>
            </w:r>
            <w:r>
              <w:rPr>
                <w:rFonts w:ascii="Inter" w:hAnsi="Inter"/>
                <w:b w:val="0"/>
                <w:i w:val="0"/>
                <w:color w:val="1E2933"/>
                <w:sz w:val="18"/>
              </w:rPr>
              <w:t>“Same PDE” does not mean “same product.” Geometry, BCs, materials, query population, closure policy and workload distribution can turn an easy reference problem into a hard one. Carbon should price and qualify the exact job, not the equation label.</w:t>
            </w:r>
          </w:p>
        </w:tc>
        <w:trPr>
          <w:tblHeader/>
        </w:trPr>
      </w:tr>
    </w:tbl>
    <w:p>
      <w:pPr>
        <w:spacing w:after="20"/>
      </w:pPr>
    </w:p>
    <w:p>
      <w:pPr>
        <w:keepNext/>
        <w:keepLines w:val="0"/>
        <w:widowControl/>
        <w:spacing w:before="200" w:after="100" w:line="240" w:lineRule="auto"/>
      </w:pPr>
      <w:r>
        <w:rPr>
          <w:rFonts w:ascii="Lato" w:hAnsi="Lato"/>
          <w:b/>
          <w:i w:val="0"/>
          <w:color w:val="177E89"/>
          <w:sz w:val="21"/>
        </w:rPr>
        <w:t>3</w:t>
      </w:r>
      <w:r>
        <w:rPr>
          <w:rFonts w:ascii="Lato" w:hAnsi="Lato"/>
          <w:b/>
          <w:i w:val="0"/>
          <w:color w:val="19344A"/>
          <w:sz w:val="36"/>
        </w:rPr>
        <w:t xml:space="preserve">  Reference strategy landscape</w:t>
      </w:r>
    </w:p>
    <w:p>
      <w:pPr>
        <w:keepNext/>
        <w:keepLines w:val="0"/>
        <w:widowControl/>
        <w:spacing w:before="0" w:after="160" w:line="259" w:lineRule="auto"/>
      </w:pPr>
      <w:r>
        <w:rPr>
          <w:rFonts w:ascii="Inter" w:hAnsi="Inter"/>
          <w:b w:val="0"/>
          <w:i/>
          <w:color w:val="5A6872"/>
          <w:sz w:val="18"/>
        </w:rPr>
        <w:t>A literal Cole–Hopf transform is rare. Strong reference islands are common enough to build a portfolio.</w:t>
      </w:r>
    </w:p>
    <w:p>
      <w:pPr>
        <w:keepNext w:val="0"/>
        <w:keepLines w:val="0"/>
        <w:widowControl/>
        <w:spacing w:before="60" w:after="20" w:line="240" w:lineRule="auto"/>
        <w:jc w:val="center"/>
      </w:pPr>
      <w:r>
        <w:drawing>
          <wp:inline xmlns:a="http://schemas.openxmlformats.org/drawingml/2006/main" xmlns:pic="http://schemas.openxmlformats.org/drawingml/2006/picture">
            <wp:extent cx="6035040" cy="2965143"/>
            <wp:docPr id="2" name="Picture 2" title="Figure 2. Reference authority ladder." descr="Five-layer ladder from exact transformations through physical validation anchors, emphasizing role-based authority."/>
            <wp:cNvGraphicFramePr>
              <a:graphicFrameLocks noChangeAspect="1"/>
            </wp:cNvGraphicFramePr>
            <a:graphic>
              <a:graphicData uri="http://schemas.openxmlformats.org/drawingml/2006/picture">
                <pic:pic>
                  <pic:nvPicPr>
                    <pic:cNvPr id="0" name="reference_ladder.png"/>
                    <pic:cNvPicPr/>
                  </pic:nvPicPr>
                  <pic:blipFill>
                    <a:blip r:embed="rId12"/>
                    <a:stretch>
                      <a:fillRect/>
                    </a:stretch>
                  </pic:blipFill>
                  <pic:spPr>
                    <a:xfrm>
                      <a:off x="0" y="0"/>
                      <a:ext cx="6035040" cy="2965143"/>
                    </a:xfrm>
                    <a:prstGeom prst="rect"/>
                  </pic:spPr>
                </pic:pic>
              </a:graphicData>
            </a:graphic>
          </wp:inline>
        </w:drawing>
      </w:r>
    </w:p>
    <w:p>
      <w:pPr>
        <w:keepNext w:val="0"/>
        <w:keepLines w:val="0"/>
        <w:widowControl/>
        <w:spacing w:before="40" w:after="140" w:line="240" w:lineRule="auto"/>
        <w:jc w:val="center"/>
      </w:pPr>
      <w:r>
        <w:rPr>
          <w:rFonts w:ascii="Inter" w:hAnsi="Inter"/>
          <w:b w:val="0"/>
          <w:i/>
          <w:color w:val="5A6872"/>
          <w:sz w:val="16"/>
        </w:rPr>
        <w:t>Figure 2. Reference authority ladder.</w:t>
      </w:r>
    </w:p>
    <w:p>
      <w:pPr>
        <w:pStyle w:val="Heading2"/>
        <w:keepNext/>
        <w:keepLines w:val="0"/>
        <w:widowControl/>
        <w:spacing w:before="140" w:after="80" w:line="240" w:lineRule="auto"/>
      </w:pPr>
      <w:r>
        <w:rPr>
          <w:rFonts w:ascii="Lato" w:hAnsi="Lato"/>
          <w:b/>
          <w:i w:val="0"/>
          <w:color w:val="19344A"/>
          <w:sz w:val="24"/>
        </w:rPr>
        <w:t>3.1 What “Cole–Hopf-style” should mean for Carbon</w:t>
      </w:r>
    </w:p>
    <w:p>
      <w:pPr>
        <w:keepNext w:val="0"/>
        <w:keepLines w:val="0"/>
        <w:widowControl/>
        <w:spacing w:before="0" w:after="100" w:line="259" w:lineRule="auto"/>
      </w:pPr>
      <w:r>
        <w:rPr>
          <w:rFonts w:ascii="Inter" w:hAnsi="Inter"/>
          <w:b w:val="0"/>
          <w:i w:val="0"/>
          <w:color w:val="1E2933"/>
          <w:sz w:val="19"/>
        </w:rPr>
        <w:t>Carbon should use the phrase as shorthand for a reference process with unusually strong mathematical control, not only for a nonlinear-to-linear substitution. The useful families are: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Reference family</w:t>
            </w:r>
          </w:p>
        </w:tc>
        <w:tc>
          <w:tcPr>
            <w:tcW w:type="dxa" w:w="316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Examples</w:t>
            </w:r>
          </w:p>
        </w:tc>
        <w:tc>
          <w:tcPr>
            <w:tcW w:type="dxa" w:w="388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Carbon interpretation</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Exact linearizing transform</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Cole–Hopf; Kirchhoff transform; quadratic Hamilton–Jacobi transform.</w:t>
            </w:r>
          </w:p>
        </w:tc>
        <w:tc>
          <w:tcPr>
            <w:tcW w:type="dxa" w:w="38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Highest control inside narrow assumptions; implementation error remains.</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Exact variational / characteristic formula</w:t>
            </w:r>
          </w:p>
        </w:tc>
        <w:tc>
          <w:tcPr>
            <w:tcW w:type="dxa" w:w="31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Hopf–Lax, characteristics, viscosity solutions.</w:t>
            </w:r>
          </w:p>
        </w:tc>
        <w:tc>
          <w:tcPr>
            <w:tcW w:type="dxa" w:w="38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Strong reference for qualified convex/smooth classes; non-smooth and non-convex cases need care.</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Green function / boundary integral</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Heat, Laplace, Stokes, acoustics and Maxwell boundary formulations.</w:t>
            </w:r>
          </w:p>
        </w:tc>
        <w:tc>
          <w:tcPr>
            <w:tcW w:type="dxa" w:w="38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Exact kernel with numerical quadrature/geometry error.</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Modal / special-function series</w:t>
            </w:r>
          </w:p>
        </w:tc>
        <w:tc>
          <w:tcPr>
            <w:tcW w:type="dxa" w:w="31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Fourier/eigenfunction expansions, cavity modes and Mie series.</w:t>
            </w:r>
          </w:p>
        </w:tc>
        <w:tc>
          <w:tcPr>
            <w:tcW w:type="dxa" w:w="38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Controllable truncation for canonical geometry; conditioning can fail at extremes.</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Riemann / similarity / travelling wave</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Euler, shallow water, porous medium, Stefan and reaction fronts.</w:t>
            </w:r>
          </w:p>
        </w:tc>
        <w:tc>
          <w:tcPr>
            <w:tcW w:type="dxa" w:w="38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Exact anchor for shocks/fronts in a restricted family.</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Manufactured solution</w:t>
            </w:r>
          </w:p>
        </w:tc>
        <w:tc>
          <w:tcPr>
            <w:tcW w:type="dxa" w:w="31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Choose u*, derive source and auxiliary conditions.</w:t>
            </w:r>
          </w:p>
        </w:tc>
        <w:tc>
          <w:tcPr>
            <w:tcW w:type="dxa" w:w="38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Exact code-verification target; not physical validation.</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Converged numerical reference</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Refinement, estimators, tolerance/precision studies and independent witness.</w:t>
            </w:r>
          </w:p>
        </w:tc>
        <w:tc>
          <w:tcPr>
            <w:tcW w:type="dxa" w:w="38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General geometry; evidence burden rises.</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Experiment / industrial observation</w:t>
            </w:r>
          </w:p>
        </w:tc>
        <w:tc>
          <w:tcPr>
            <w:tcW w:type="dxa" w:w="31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Calibrated measurements or customer goldens.</w:t>
            </w:r>
          </w:p>
        </w:tc>
        <w:tc>
          <w:tcPr>
            <w:tcW w:type="dxa" w:w="38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Validates the physical system within measurement and representativeness limits.</w:t>
            </w:r>
          </w:p>
        </w:tc>
      </w:tr>
    </w:tbl>
    <w:p>
      <w:pPr>
        <w:spacing w:after="20"/>
      </w:pPr>
    </w:p>
    <w:p>
      <w:pPr>
        <w:pStyle w:val="Heading2"/>
        <w:keepNext/>
        <w:keepLines w:val="0"/>
        <w:widowControl/>
        <w:spacing w:before="140" w:after="80" w:line="240" w:lineRule="auto"/>
      </w:pPr>
      <w:r>
        <w:rPr>
          <w:rFonts w:ascii="Lato" w:hAnsi="Lato"/>
          <w:b/>
          <w:i w:val="0"/>
          <w:color w:val="19344A"/>
          <w:sz w:val="24"/>
        </w:rPr>
        <w:t>3.2 Qualification classes used in the matrix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Class</w:t>
            </w:r>
          </w:p>
        </w:tc>
        <w:tc>
          <w:tcPr>
            <w:tcW w:type="dxa" w:w="496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Meaning</w:t>
            </w:r>
          </w:p>
        </w:tc>
        <w:tc>
          <w:tcPr>
            <w:tcW w:type="dxa" w:w="352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Typical examples</w:t>
            </w:r>
          </w:p>
        </w:tc>
      </w:tr>
      <w:tr>
        <w:trPr>
          <w:cantSplit/>
        </w:trPr>
        <w:tc>
          <w:tcPr>
            <w:tcW w:type="dxa" w:w="79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Q1</w:t>
            </w:r>
          </w:p>
        </w:tc>
        <w:tc>
          <w:tcPr>
            <w:tcW w:type="dxa" w:w="49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Useful exact or semi-analytic family; cheap independent implementation.</w:t>
            </w:r>
          </w:p>
        </w:tc>
        <w:tc>
          <w:tcPr>
            <w:tcW w:type="dxa" w:w="352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Poisson, diffusion, linear waves.</w:t>
            </w:r>
          </w:p>
        </w:tc>
      </w:tr>
      <w:tr>
        <w:trPr>
          <w:cantSplit/>
        </w:trPr>
        <w:tc>
          <w:tcPr>
            <w:tcW w:type="dxa" w:w="79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Q2</w:t>
            </w:r>
          </w:p>
        </w:tc>
        <w:tc>
          <w:tcPr>
            <w:tcW w:type="dxa" w:w="49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Exact islands plus a straightforward converged witness.</w:t>
            </w:r>
          </w:p>
        </w:tc>
        <w:tc>
          <w:tcPr>
            <w:tcW w:type="dxa" w:w="352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Burgers, canonical elasticity, Mie, nonlinear conduction.</w:t>
            </w:r>
          </w:p>
        </w:tc>
      </w:tr>
      <w:tr>
        <w:trPr>
          <w:cantSplit/>
        </w:trPr>
        <w:tc>
          <w:tcPr>
            <w:tcW w:type="dxa" w:w="79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Q3</w:t>
            </w:r>
          </w:p>
        </w:tc>
        <w:tc>
          <w:tcPr>
            <w:tcW w:type="dxa" w:w="49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High-quality numerical primary plus cross-code evidence; strong canonical anchors.</w:t>
            </w:r>
          </w:p>
        </w:tc>
        <w:tc>
          <w:tcPr>
            <w:tcW w:type="dxa" w:w="352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Laminar CFD, canonical CHT, shocks, radiative transport.</w:t>
            </w:r>
          </w:p>
        </w:tc>
      </w:tr>
      <w:tr>
        <w:trPr>
          <w:cantSplit/>
        </w:trPr>
        <w:tc>
          <w:tcPr>
            <w:tcW w:type="dxa" w:w="79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Q4</w:t>
            </w:r>
          </w:p>
        </w:tc>
        <w:tc>
          <w:tcPr>
            <w:tcW w:type="dxa" w:w="49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General geometry/nonlinearity; experiment or strong customer evidence becomes material.</w:t>
            </w:r>
          </w:p>
        </w:tc>
        <w:tc>
          <w:tcPr>
            <w:tcW w:type="dxa" w:w="352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General CFD, general Maxwell, hyperelasticity, geophysics.</w:t>
            </w:r>
          </w:p>
        </w:tc>
      </w:tr>
      <w:tr>
        <w:trPr>
          <w:cantSplit/>
        </w:trPr>
        <w:tc>
          <w:tcPr>
            <w:tcW w:type="dxa" w:w="79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Q5</w:t>
            </w:r>
          </w:p>
        </w:tc>
        <w:tc>
          <w:tcPr>
            <w:tcW w:type="dxa" w:w="49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Model form, topology change, chaos, stochasticity or coupled-system uncertainty dominates.</w:t>
            </w:r>
          </w:p>
        </w:tc>
        <w:tc>
          <w:tcPr>
            <w:tcW w:type="dxa" w:w="352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Turbulence, boiling, fracture, FSI, batteries.</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080"/>
            <w:shd w:fill="F9EAEA"/>
            <w:tcBorders>
              <w:top w:sz="8" w:val="single" w:color="A43A3A"/>
              <w:left w:sz="18" w:val="single" w:color="A43A3A"/>
              <w:bottom w:sz="8" w:val="single" w:color="A43A3A"/>
              <w:right w:sz="8" w:val="single" w:color="A43A3A"/>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A43A3A"/>
                <w:sz w:val="19"/>
              </w:rPr>
              <w:t xml:space="preserve">No automatic transfer  </w:t>
            </w:r>
            <w:r>
              <w:rPr>
                <w:rFonts w:ascii="Inter" w:hAnsi="Inter"/>
                <w:b w:val="0"/>
                <w:i w:val="0"/>
                <w:color w:val="1E2933"/>
                <w:sz w:val="18"/>
              </w:rPr>
              <w:t>A Q1 exact reference can verify a solver kernel or narrow Challenge. It does not qualify a Q4 customer job that shares the same PDE but changes geometry, materials, boundary classes, query population or closure model.</w:t>
            </w:r>
          </w:p>
        </w:tc>
        <w:trPr>
          <w:tblHeader/>
        </w:trPr>
      </w:tr>
    </w:tbl>
    <w:p>
      <w:pPr>
        <w:spacing w:after="20"/>
      </w:pPr>
    </w:p>
    <w:p>
      <w:pPr>
        <w:keepNext/>
        <w:keepLines w:val="0"/>
        <w:widowControl/>
        <w:spacing w:before="200" w:after="100" w:line="240" w:lineRule="auto"/>
      </w:pPr>
      <w:r>
        <w:rPr>
          <w:rFonts w:ascii="Lato" w:hAnsi="Lato"/>
          <w:b/>
          <w:i w:val="0"/>
          <w:color w:val="177E89"/>
          <w:sz w:val="21"/>
        </w:rPr>
        <w:t>4</w:t>
      </w:r>
      <w:r>
        <w:rPr>
          <w:rFonts w:ascii="Lato" w:hAnsi="Lato"/>
          <w:b/>
          <w:i w:val="0"/>
          <w:color w:val="19344A"/>
          <w:sz w:val="36"/>
        </w:rPr>
        <w:t xml:space="preserve">  Method of Manufactured Solutions</w:t>
      </w:r>
    </w:p>
    <w:p>
      <w:pPr>
        <w:keepNext/>
        <w:keepLines w:val="0"/>
        <w:widowControl/>
        <w:spacing w:before="0" w:after="160" w:line="259" w:lineRule="auto"/>
      </w:pPr>
      <w:r>
        <w:rPr>
          <w:rFonts w:ascii="Inter" w:hAnsi="Inter"/>
          <w:b w:val="0"/>
          <w:i/>
          <w:color w:val="5A6872"/>
          <w:sz w:val="18"/>
        </w:rPr>
        <w:t>MMS is a rigorous code-verification instrument and a promising data-generation method. It is not a substitute for validation.</w:t>
      </w:r>
    </w:p>
    <w:p>
      <w:pPr>
        <w:pStyle w:val="Heading2"/>
        <w:keepNext/>
        <w:keepLines w:val="0"/>
        <w:widowControl/>
        <w:spacing w:before="140" w:after="80" w:line="240" w:lineRule="auto"/>
      </w:pPr>
      <w:r>
        <w:rPr>
          <w:rFonts w:ascii="Lato" w:hAnsi="Lato"/>
          <w:b/>
          <w:i w:val="0"/>
          <w:color w:val="19344A"/>
          <w:sz w:val="24"/>
        </w:rPr>
        <w:t>4.1 The method</w:t>
      </w:r>
    </w:p>
    <w:p>
      <w:pPr>
        <w:keepNext w:val="0"/>
        <w:keepLines w:val="0"/>
        <w:widowControl/>
        <w:spacing w:before="0" w:after="60" w:line="259" w:lineRule="auto"/>
      </w:pPr>
      <w:r>
        <w:rPr>
          <w:rFonts w:ascii="Inter" w:hAnsi="Inter"/>
          <w:b w:val="0"/>
          <w:i w:val="0"/>
          <w:color w:val="1E2933"/>
          <w:sz w:val="19"/>
        </w:rPr>
        <w:t>For a differential operator L and unknown field u, choose a sufficiently smooth manufactured field u* and compute the forcing and auxiliary conditions that make it exact:</w:t>
      </w:r>
    </w:p>
    <w:p>
      <w:pPr>
        <w:keepNext w:val="0"/>
        <w:keepLines w:val="0"/>
        <w:widowControl/>
        <w:spacing w:before="60" w:after="120" w:line="240" w:lineRule="auto"/>
        <w:jc w:val="center"/>
      </w:pPr>
      <w:r>
        <w:rPr>
          <w:rFonts w:ascii="Liberation Serif" w:hAnsi="Liberation Serif"/>
          <w:b w:val="0"/>
          <w:i/>
          <w:color w:val="19344A"/>
          <w:sz w:val="28"/>
        </w:rPr>
        <w:t>f* = L[u*],    u*|∂Ω = g*,    u*(x,0) = u₀*</w:t>
      </w:r>
    </w:p>
    <w:p>
      <w:pPr>
        <w:keepNext w:val="0"/>
        <w:keepLines w:val="0"/>
        <w:widowControl/>
        <w:spacing w:before="0" w:after="100" w:line="259" w:lineRule="auto"/>
      </w:pPr>
      <w:r>
        <w:rPr>
          <w:rFonts w:ascii="Inter" w:hAnsi="Inter"/>
          <w:b w:val="0"/>
          <w:i w:val="0"/>
          <w:color w:val="1E2933"/>
          <w:sz w:val="19"/>
        </w:rPr>
        <w:t>The numerical implementation solves the manufactured problem on a refinement sequence. Carbon compares the observed error decay with the method’s expected order and inspects which equations, terms, boundary paths and couplings were exercised. [E1–E5,E40]</w:t>
      </w:r>
    </w:p>
    <w:p>
      <w:pPr>
        <w:pStyle w:val="Heading2"/>
        <w:keepNext/>
        <w:keepLines w:val="0"/>
        <w:widowControl/>
        <w:spacing w:before="140" w:after="80" w:line="240" w:lineRule="auto"/>
      </w:pPr>
      <w:r>
        <w:rPr>
          <w:rFonts w:ascii="Lato" w:hAnsi="Lato"/>
          <w:b/>
          <w:i w:val="0"/>
          <w:color w:val="19344A"/>
          <w:sz w:val="24"/>
        </w:rPr>
        <w:t>4.2 What MMS can and cannot establish</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Question</w:t>
            </w:r>
          </w:p>
        </w:tc>
        <w:tc>
          <w:tcPr>
            <w:tcW w:type="dxa" w:w="7343"/>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Answer</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Can establish</w:t>
            </w:r>
          </w:p>
        </w:tc>
        <w:tc>
          <w:tcPr>
            <w:tcW w:type="dxa" w:w="7343"/>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Implementation consistency with the declared equations; observed order under refinement; BC/IC/source-term paths; coupled-term and constitutive implementation; measurement-operator floors; regression and mutation-test coverage.</w:t>
            </w:r>
          </w:p>
        </w:tc>
      </w:tr>
      <w:tr>
        <w:trPr>
          <w:cantSplit/>
        </w:trPr>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Cannot establish</w:t>
            </w:r>
          </w:p>
        </w:tc>
        <w:tc>
          <w:tcPr>
            <w:tcW w:type="dxa" w:w="7343"/>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That the governing model represents the physical system; that the manufactured forcing resembles the customer workload; that the target population is correct; that a closure model is adequate; that a product is safe, useful or qualified.</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Important Carbon caveat</w:t>
            </w:r>
          </w:p>
        </w:tc>
        <w:tc>
          <w:tcPr>
            <w:tcW w:type="dxa" w:w="7343"/>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MMS samples a solution family and induces a forcing/BC distribution. That induced distribution is not automatically the target engineering population P(x). Carbon must register it as a construction/verification population or qualify it as part of the Challenge.</w:t>
            </w:r>
          </w:p>
        </w:tc>
      </w:tr>
    </w:tbl>
    <w:p>
      <w:pPr>
        <w:spacing w:after="20"/>
      </w:pPr>
    </w:p>
    <w:p>
      <w:pPr>
        <w:pStyle w:val="Heading2"/>
        <w:keepNext/>
        <w:keepLines w:val="0"/>
        <w:widowControl/>
        <w:spacing w:before="140" w:after="80" w:line="240" w:lineRule="auto"/>
      </w:pPr>
      <w:r>
        <w:rPr>
          <w:rFonts w:ascii="Lato" w:hAnsi="Lato"/>
          <w:b/>
          <w:i w:val="0"/>
          <w:color w:val="19344A"/>
          <w:sz w:val="24"/>
        </w:rPr>
        <w:t>4.3 MMS roles in Carbon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Role</w:t>
            </w:r>
          </w:p>
        </w:tc>
        <w:tc>
          <w:tcPr>
            <w:tcW w:type="dxa" w:w="684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Scientific use</w:t>
            </w:r>
          </w:p>
        </w:tc>
      </w:tr>
      <w:tr>
        <w:trPr>
          <w:cantSplit/>
        </w:trPr>
        <w:tc>
          <w:tcPr>
            <w:tcW w:type="dxa" w:w="24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Reference-solver code verification</w:t>
            </w:r>
          </w:p>
        </w:tc>
        <w:tc>
          <w:tcPr>
            <w:tcW w:type="dxa" w:w="68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Verify the primary and witness implementations before they carry answer-key authority.</w:t>
            </w:r>
          </w:p>
        </w:tc>
      </w:tr>
      <w:tr>
        <w:trPr>
          <w:cantSplit/>
        </w:trPr>
        <w:tc>
          <w:tcPr>
            <w:tcW w:type="dxa" w:w="24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Generator/adapter verification</w:t>
            </w:r>
          </w:p>
        </w:tc>
        <w:tc>
          <w:tcPr>
            <w:tcW w:type="dxa" w:w="68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Manufacture cases whose parameters, BCs, geometry and representation can be checked exactly through every adapter.</w:t>
            </w:r>
          </w:p>
        </w:tc>
      </w:tr>
      <w:tr>
        <w:trPr>
          <w:cantSplit/>
        </w:trPr>
        <w:tc>
          <w:tcPr>
            <w:tcW w:type="dxa" w:w="24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Measurement qualification</w:t>
            </w:r>
          </w:p>
        </w:tc>
        <w:tc>
          <w:tcPr>
            <w:tcW w:type="dxa" w:w="68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Manufacture fields with controlled divergence, residual, interface flux, stress or conservation properties to find numerical floors and implementation defects.</w:t>
            </w:r>
          </w:p>
        </w:tc>
      </w:tr>
      <w:tr>
        <w:trPr>
          <w:cantSplit/>
        </w:trPr>
        <w:tc>
          <w:tcPr>
            <w:tcW w:type="dxa" w:w="244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Training-data generation</w:t>
            </w:r>
          </w:p>
        </w:tc>
        <w:tc>
          <w:tcPr>
            <w:tcW w:type="dxa" w:w="68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Generate exact synthetic pairs without a forward solve, as demonstrated for neural operators and extended by HyPINO and MML. [E6–E8]</w:t>
            </w:r>
          </w:p>
        </w:tc>
      </w:tr>
      <w:tr>
        <w:trPr>
          <w:cantSplit/>
        </w:trPr>
        <w:tc>
          <w:tcPr>
            <w:tcW w:type="dxa" w:w="244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Protected randomized audits</w:t>
            </w:r>
          </w:p>
        </w:tc>
        <w:tc>
          <w:tcPr>
            <w:tcW w:type="dxa" w:w="68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Use prospectively generated MMS families to test implementation paths on hidden cases, while keeping physical target cases separate.</w:t>
            </w:r>
          </w:p>
        </w:tc>
      </w:tr>
    </w:tbl>
    <w:p>
      <w:pPr>
        <w:spacing w:after="20"/>
      </w:pPr>
    </w:p>
    <w:p>
      <w:pPr>
        <w:pStyle w:val="Heading2"/>
        <w:keepNext/>
        <w:keepLines w:val="0"/>
        <w:widowControl/>
        <w:spacing w:before="140" w:after="80" w:line="240" w:lineRule="auto"/>
      </w:pPr>
      <w:r>
        <w:rPr>
          <w:rFonts w:ascii="Lato" w:hAnsi="Lato"/>
          <w:b/>
          <w:i w:val="0"/>
          <w:color w:val="19344A"/>
          <w:sz w:val="24"/>
        </w:rPr>
        <w:t>4.4 Carbon MMS Factory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72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Level</w:t>
            </w:r>
          </w:p>
        </w:tc>
        <w:tc>
          <w:tcPr>
            <w:tcW w:type="dxa" w:w="756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Required evidence</w:t>
            </w:r>
          </w:p>
        </w:tc>
      </w:tr>
      <w:tr>
        <w:trPr>
          <w:cantSplit/>
        </w:trPr>
        <w:tc>
          <w:tcPr>
            <w:tcW w:type="dxa" w:w="172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M0 : Operator audit</w:t>
            </w:r>
          </w:p>
        </w:tc>
        <w:tc>
          <w:tcPr>
            <w:tcW w:type="dxa" w:w="75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Symbolically derive all source, boundary and initial terms; retain expression and code-generation provenance.</w:t>
            </w:r>
          </w:p>
        </w:tc>
      </w:tr>
      <w:tr>
        <w:trPr>
          <w:cantSplit/>
        </w:trPr>
        <w:tc>
          <w:tcPr>
            <w:tcW w:type="dxa" w:w="172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M1 : Observed-order study</w:t>
            </w:r>
          </w:p>
        </w:tc>
        <w:tc>
          <w:tcPr>
            <w:tcW w:type="dxa" w:w="756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Use multiple meshes/time steps and independently compute expected versus observed convergence.</w:t>
            </w:r>
          </w:p>
        </w:tc>
      </w:tr>
      <w:tr>
        <w:trPr>
          <w:cantSplit/>
        </w:trPr>
        <w:tc>
          <w:tcPr>
            <w:tcW w:type="dxa" w:w="172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M2 : Randomized family</w:t>
            </w:r>
          </w:p>
        </w:tc>
        <w:tc>
          <w:tcPr>
            <w:tcW w:type="dxa" w:w="75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Vary frequencies, amplitudes, couplings, coefficients, BC types and geometry maps within a registered MMS distribution.</w:t>
            </w:r>
          </w:p>
        </w:tc>
      </w:tr>
      <w:tr>
        <w:trPr>
          <w:cantSplit/>
        </w:trPr>
        <w:tc>
          <w:tcPr>
            <w:tcW w:type="dxa" w:w="172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M3 : Mutation challenge</w:t>
            </w:r>
          </w:p>
        </w:tc>
        <w:tc>
          <w:tcPr>
            <w:tcW w:type="dxa" w:w="756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Plant sign, index, coefficient, BC, coupling and unit defects under a blind protocol; measure whether the suite detects them.</w:t>
            </w:r>
          </w:p>
        </w:tc>
      </w:tr>
      <w:tr>
        <w:trPr>
          <w:cantSplit/>
        </w:trPr>
        <w:tc>
          <w:tcPr>
            <w:tcW w:type="dxa" w:w="172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M4 : Measurement audit</w:t>
            </w:r>
          </w:p>
        </w:tc>
        <w:tc>
          <w:tcPr>
            <w:tcW w:type="dxa" w:w="75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Use controlled fields to qualify residuals, invariants, quadrature, interface balances and applicability rules.</w:t>
            </w:r>
          </w:p>
        </w:tc>
      </w:tr>
      <w:tr>
        <w:trPr>
          <w:cantSplit/>
        </w:trPr>
        <w:tc>
          <w:tcPr>
            <w:tcW w:type="dxa" w:w="172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M5 : Physical-anchor holdout</w:t>
            </w:r>
          </w:p>
        </w:tc>
        <w:tc>
          <w:tcPr>
            <w:tcW w:type="dxa" w:w="756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Evaluate the same implementation on exact physical cases, converged independent cases and experiments where applicable.</w:t>
            </w:r>
          </w:p>
        </w:tc>
      </w:tr>
    </w:tbl>
    <w:p>
      <w:pPr>
        <w:spacing w:after="20"/>
      </w:pPr>
    </w:p>
    <w:p>
      <w:pPr>
        <w:pStyle w:val="Heading2"/>
        <w:keepNext/>
        <w:keepLines w:val="0"/>
        <w:widowControl/>
        <w:spacing w:before="140" w:after="80" w:line="240" w:lineRule="auto"/>
      </w:pPr>
      <w:r>
        <w:rPr>
          <w:rFonts w:ascii="Lato" w:hAnsi="Lato"/>
          <w:b/>
          <w:i w:val="0"/>
          <w:color w:val="19344A"/>
          <w:sz w:val="24"/>
        </w:rPr>
        <w:t>4.5 SOTA: MMS as neural-operator data</w:t>
      </w:r>
    </w:p>
    <w:p>
      <w:pPr>
        <w:keepNext w:val="0"/>
        <w:keepLines w:val="0"/>
        <w:widowControl/>
        <w:spacing w:before="0" w:after="100" w:line="259" w:lineRule="auto"/>
      </w:pPr>
      <w:r>
        <w:rPr>
          <w:rFonts w:ascii="Inter" w:hAnsi="Inter"/>
          <w:b w:val="0"/>
          <w:i w:val="0"/>
          <w:color w:val="1E2933"/>
          <w:sz w:val="19"/>
        </w:rPr>
        <w:t>Recent work broadens MMS from solver verification to operator-learning data generation. Hasani and Ward sample candidate solutions, differentiate them through the PDE, and train the inverse map from forcing to solution without a forward numerical solve. HyPINO combines MMS labels with physics-informed supervision across a family of 2D linear elliptic, hyperbolic and parabolic PDEs with varied geometries and mixed BCs. Method of Manufactured Learning proposes solver-free training for several canonical evolution equations. [E6–E8]</w:t>
      </w:r>
    </w:p>
    <w:tbl>
      <w:tblPr>
        <w:tblW w:type="auto" w:w="0"/>
        <w:jc w:val="center"/>
        <w:tblLayout w:type="fixed"/>
        <w:tblLook w:firstColumn="1" w:firstRow="1" w:lastColumn="0" w:lastRow="0" w:noHBand="0" w:noVBand="1" w:val="04A0"/>
      </w:tblPr>
      <w:tblGrid>
        <w:gridCol w:w="10080"/>
      </w:tblGrid>
      <w:tr>
        <w:tc>
          <w:tcPr>
            <w:tcW w:type="dxa" w:w="10080"/>
            <w:shd w:fill="FBF4E5"/>
            <w:tcBorders>
              <w:top w:sz="8" w:val="single" w:color="B7791F"/>
              <w:left w:sz="18" w:val="single" w:color="B7791F"/>
              <w:bottom w:sz="8" w:val="single" w:color="B7791F"/>
              <w:right w:sz="8" w:val="single" w:color="B7791F"/>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B7791F"/>
                <w:sz w:val="19"/>
              </w:rPr>
              <w:t xml:space="preserve">Scientific caution  </w:t>
            </w:r>
            <w:r>
              <w:rPr>
                <w:rFonts w:ascii="Inter" w:hAnsi="Inter"/>
                <w:b w:val="0"/>
                <w:i w:val="0"/>
                <w:color w:val="1E2933"/>
                <w:sz w:val="18"/>
              </w:rPr>
              <w:t>These results are promising external evidence, not proof that MMS-only training will generalize to Carbon’s customer distribution. Smooth manufactured fields can underrepresent shocks, singularities, topology changes, turbulent statistics and realistic load correlations. The zero-forcing or physical-inference task can also create a distribution shift that must be tested prospectively.</w:t>
            </w:r>
          </w:p>
        </w:tc>
        <w:trPr>
          <w:tblHeader/>
        </w:trPr>
      </w:tr>
    </w:tbl>
    <w:p>
      <w:pPr>
        <w:spacing w:after="20"/>
      </w:pPr>
    </w:p>
    <w:p>
      <w:pPr>
        <w:pStyle w:val="Heading2"/>
        <w:keepNext/>
        <w:keepLines w:val="0"/>
        <w:widowControl/>
        <w:spacing w:before="140" w:after="80" w:line="240" w:lineRule="auto"/>
      </w:pPr>
      <w:r>
        <w:rPr>
          <w:rFonts w:ascii="Lato" w:hAnsi="Lato"/>
          <w:b/>
          <w:i w:val="0"/>
          <w:color w:val="19344A"/>
          <w:sz w:val="24"/>
        </w:rPr>
        <w:t>4.6 Proposed Carbon MMS experiment</w:t>
      </w:r>
    </w:p>
    <w:p>
      <w:pPr>
        <w:keepNext w:val="0"/>
        <w:keepLines w:val="0"/>
        <w:widowControl/>
        <w:spacing w:before="0" w:after="100" w:line="259" w:lineRule="auto"/>
      </w:pPr>
      <w:r>
        <w:rPr>
          <w:rFonts w:ascii="Inter" w:hAnsi="Inter"/>
          <w:b w:val="0"/>
          <w:i w:val="0"/>
          <w:color w:val="1E2933"/>
          <w:sz w:val="19"/>
        </w:rPr>
        <w:t>[EXP] Run the following registered comparison on Poisson, transient diffusion and nonlinear thermal conduction. Keep architecture, training compute and hidden physical exam fixed:</w:t>
      </w:r>
    </w:p>
    <w:p>
      <w:pPr>
        <w:pStyle w:val="ListNumber"/>
        <w:keepNext w:val="0"/>
        <w:keepLines w:val="0"/>
        <w:widowControl/>
        <w:spacing w:before="0" w:after="60" w:line="252" w:lineRule="auto"/>
      </w:pPr>
      <w:r>
        <w:rPr>
          <w:rFonts w:ascii="Inter" w:hAnsi="Inter"/>
          <w:b w:val="0"/>
          <w:i w:val="0"/>
          <w:color w:val="1E2933"/>
          <w:sz w:val="18"/>
        </w:rPr>
        <w:t>solver-generated training data only;</w:t>
      </w:r>
    </w:p>
    <w:p>
      <w:pPr>
        <w:pStyle w:val="ListNumber"/>
        <w:keepNext w:val="0"/>
        <w:keepLines w:val="0"/>
        <w:widowControl/>
        <w:spacing w:before="0" w:after="60" w:line="252" w:lineRule="auto"/>
      </w:pPr>
      <w:r>
        <w:rPr>
          <w:rFonts w:ascii="Inter" w:hAnsi="Inter"/>
          <w:b w:val="0"/>
          <w:i w:val="0"/>
          <w:color w:val="1E2933"/>
          <w:sz w:val="18"/>
        </w:rPr>
        <w:t>MMS-generated data only;</w:t>
      </w:r>
    </w:p>
    <w:p>
      <w:pPr>
        <w:pStyle w:val="ListNumber"/>
        <w:keepNext w:val="0"/>
        <w:keepLines w:val="0"/>
        <w:widowControl/>
        <w:spacing w:before="0" w:after="60" w:line="252" w:lineRule="auto"/>
      </w:pPr>
      <w:r>
        <w:rPr>
          <w:rFonts w:ascii="Inter" w:hAnsi="Inter"/>
          <w:b w:val="0"/>
          <w:i w:val="0"/>
          <w:color w:val="1E2933"/>
          <w:sz w:val="18"/>
        </w:rPr>
        <w:t>mixed MMS plus solver data;</w:t>
      </w:r>
    </w:p>
    <w:p>
      <w:pPr>
        <w:pStyle w:val="ListNumber"/>
        <w:keepNext w:val="0"/>
        <w:keepLines w:val="0"/>
        <w:widowControl/>
        <w:spacing w:before="0" w:after="60" w:line="252" w:lineRule="auto"/>
      </w:pPr>
      <w:r>
        <w:rPr>
          <w:rFonts w:ascii="Inter" w:hAnsi="Inter"/>
          <w:b w:val="0"/>
          <w:i w:val="0"/>
          <w:color w:val="1E2933"/>
          <w:sz w:val="18"/>
        </w:rPr>
        <w:t>active MMS that targets equation terms, BC paths or failure strata discovered on a separate public/shadow set.</w:t>
      </w:r>
    </w:p>
    <w:p>
      <w:pPr>
        <w:keepNext w:val="0"/>
        <w:keepLines w:val="0"/>
        <w:widowControl/>
        <w:spacing w:before="0" w:after="100" w:line="259" w:lineRule="auto"/>
      </w:pPr>
      <w:r>
        <w:rPr>
          <w:rFonts w:ascii="Inter" w:hAnsi="Inter"/>
          <w:b w:val="0"/>
          <w:i w:val="0"/>
          <w:color w:val="1E2933"/>
          <w:sz w:val="19"/>
        </w:rPr>
        <w:t>Measure physical target error, mandatory-physics outcomes, boundary/interface error, rare-stratum performance, data-generation cost, reconstruction variance and whether the reference/evaluation uncertainty can resolve the observed differences. The experiment should qualify its own MMS distribution before supporting a training-data claim. [C2,C5]</w:t>
      </w:r>
    </w:p>
    <w:p>
      <w:pPr>
        <w:keepNext/>
        <w:keepLines w:val="0"/>
        <w:widowControl/>
        <w:spacing w:before="200" w:after="100" w:line="240" w:lineRule="auto"/>
      </w:pPr>
      <w:r>
        <w:rPr>
          <w:rFonts w:ascii="Lato" w:hAnsi="Lato"/>
          <w:b/>
          <w:i w:val="0"/>
          <w:color w:val="177E89"/>
          <w:sz w:val="21"/>
        </w:rPr>
        <w:t>5</w:t>
      </w:r>
      <w:r>
        <w:rPr>
          <w:rFonts w:ascii="Lato" w:hAnsi="Lato"/>
          <w:b/>
          <w:i w:val="0"/>
          <w:color w:val="19344A"/>
          <w:sz w:val="36"/>
        </w:rPr>
        <w:t xml:space="preserve">  Neural-operator and hybrid-solver SOTA</w:t>
      </w:r>
    </w:p>
    <w:p>
      <w:pPr>
        <w:keepNext/>
        <w:keepLines w:val="0"/>
        <w:widowControl/>
        <w:spacing w:before="0" w:after="160" w:line="259" w:lineRule="auto"/>
      </w:pPr>
      <w:r>
        <w:rPr>
          <w:rFonts w:ascii="Inter" w:hAnsi="Inter"/>
          <w:b w:val="0"/>
          <w:i/>
          <w:color w:val="5A6872"/>
          <w:sz w:val="18"/>
        </w:rPr>
        <w:t>Use operator learning where it changes the cost structure, while preserving a qualified correction or escalation path when risk is high.</w:t>
      </w:r>
    </w:p>
    <w:p>
      <w:pPr>
        <w:pStyle w:val="Heading2"/>
        <w:keepNext/>
        <w:keepLines w:val="0"/>
        <w:widowControl/>
        <w:spacing w:before="140" w:after="80" w:line="240" w:lineRule="auto"/>
      </w:pPr>
      <w:r>
        <w:rPr>
          <w:rFonts w:ascii="Lato" w:hAnsi="Lato"/>
          <w:b/>
          <w:i w:val="0"/>
          <w:color w:val="19344A"/>
          <w:sz w:val="24"/>
        </w:rPr>
        <w:t>5.1 Current technique families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Family</w:t>
            </w:r>
          </w:p>
        </w:tc>
        <w:tc>
          <w:tcPr>
            <w:tcW w:type="dxa" w:w="273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Approach</w:t>
            </w:r>
          </w:p>
        </w:tc>
        <w:tc>
          <w:tcPr>
            <w:tcW w:type="dxa" w:w="216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Potential value</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Qualification issue</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Data-supervised neural operators</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FNO, DeepONet, graph/geometry-informed operators and transformer operators learn a family of solution maps.</w:t>
            </w:r>
          </w:p>
        </w:tc>
        <w:tc>
          <w:tcPr>
            <w:tcW w:type="dxa" w:w="21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Many-query speed, inverse design and differentiability.</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Distribution shift, benchmark quality, geometry and long-rollout error. [E10,E33,E34]</w:t>
            </w:r>
          </w:p>
        </w:tc>
      </w:tr>
      <w:tr>
        <w:trPr>
          <w:cantSplit/>
        </w:trPr>
        <w:tc>
          <w:tcPr>
            <w:tcW w:type="dxa" w:w="20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Physics-informed operators</w:t>
            </w:r>
          </w:p>
        </w:tc>
        <w:tc>
          <w:tcPr>
            <w:tcW w:type="dxa" w:w="27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PINO combines data and PDE constraints, including constraints evaluated at higher resolution.</w:t>
            </w:r>
          </w:p>
        </w:tc>
        <w:tc>
          <w:tcPr>
            <w:tcW w:type="dxa" w:w="216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Reduced data dependence and multi-resolution physical regularization.</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Residual implementation and optimization do not create validation. [E9]</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MMS-trained / multi-physics operators</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Synthetic exact pairs, HyPINO and MML.</w:t>
            </w:r>
          </w:p>
        </w:tc>
        <w:tc>
          <w:tcPr>
            <w:tcW w:type="dxa" w:w="21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Cheap broad equation/BC coverage and code-path control.</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Manufactured distribution versus physical population. [E6–E8]</w:t>
            </w:r>
          </w:p>
        </w:tc>
      </w:tr>
      <w:tr>
        <w:trPr>
          <w:cantSplit/>
        </w:trPr>
        <w:tc>
          <w:tcPr>
            <w:tcW w:type="dxa" w:w="20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Boundary-integral operators</w:t>
            </w:r>
          </w:p>
        </w:tc>
        <w:tc>
          <w:tcPr>
            <w:tcW w:type="dxa" w:w="27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Learn boundary-to-solution maps or solver-consistent integral representations.</w:t>
            </w:r>
          </w:p>
        </w:tc>
        <w:tc>
          <w:tcPr>
            <w:tcW w:type="dxa" w:w="216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Dimension reduction and unbounded-domain handling.</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Kernel singularities, geometry fidelity and integral-equation conditioning. [E36]</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Structure-preserving neural elements / energies</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Embed learned subdomain maps or convex learned energies inside a variational finite-element assembly.</w:t>
            </w:r>
          </w:p>
        </w:tc>
        <w:tc>
          <w:tcPr>
            <w:tcW w:type="dxa" w:w="21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Reusable local acceleration while retaining global assembly structure, nullspaces and, under stated assumptions, stability properties.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Recent evidence is preprint-stage; geometry, constitutive range, convexity assumptions, interface consistency and end-to-end error require independent reproduction. [E19,E41]</w:t>
            </w:r>
          </w:p>
        </w:tc>
      </w:tr>
      <w:tr>
        <w:trPr>
          <w:cantSplit/>
        </w:trPr>
        <w:tc>
          <w:tcPr>
            <w:tcW w:type="dxa" w:w="20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Scale-consistent / multi-resolution operators</w:t>
            </w:r>
          </w:p>
        </w:tc>
        <w:tc>
          <w:tcPr>
            <w:tcW w:type="dxa" w:w="27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Enforce compatibility across scales; train coarse data with fine physics or use scale-informed architectures.</w:t>
            </w:r>
          </w:p>
        </w:tc>
        <w:tc>
          <w:tcPr>
            <w:tcW w:type="dxa" w:w="216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Better grid/resolution transfer.</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Scale consistency is not regime extrapolation or product qualification. [E9,E12]</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5"/>
              </w:rPr>
              <w:t>End-to-end chaotic operators</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Learn long-term statistics without a conventional closure/coarse solver.</w:t>
            </w:r>
          </w:p>
        </w:tc>
        <w:tc>
          <w:tcPr>
            <w:tcW w:type="dxa" w:w="216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Potentially avoids non-unique closure maps.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5"/>
              </w:rPr>
              <w:t>Requires statistical estimands and strong prospective validation. [E11]</w:t>
            </w:r>
          </w:p>
        </w:tc>
      </w:tr>
    </w:tbl>
    <w:p>
      <w:pPr>
        <w:spacing w:after="20"/>
      </w:pPr>
    </w:p>
    <w:p>
      <w:pPr>
        <w:keepNext w:val="0"/>
        <w:keepLines w:val="0"/>
        <w:widowControl/>
        <w:spacing w:before="60" w:after="20" w:line="240" w:lineRule="auto"/>
        <w:jc w:val="center"/>
      </w:pPr>
      <w:r>
        <w:drawing>
          <wp:inline xmlns:a="http://schemas.openxmlformats.org/drawingml/2006/main" xmlns:pic="http://schemas.openxmlformats.org/drawingml/2006/picture">
            <wp:extent cx="6080760" cy="2980967"/>
            <wp:docPr id="3" name="Picture 3" title="Figure 3. Hybrid neural-operator patterns." descr="Six patterns from warm starts through full free-running surrogates, ordered by how much numerical authority remains in the online loop."/>
            <wp:cNvGraphicFramePr>
              <a:graphicFrameLocks noChangeAspect="1"/>
            </wp:cNvGraphicFramePr>
            <a:graphic>
              <a:graphicData uri="http://schemas.openxmlformats.org/drawingml/2006/picture">
                <pic:pic>
                  <pic:nvPicPr>
                    <pic:cNvPr id="0" name="hybrid_taxonomy.png"/>
                    <pic:cNvPicPr/>
                  </pic:nvPicPr>
                  <pic:blipFill>
                    <a:blip r:embed="rId13"/>
                    <a:stretch>
                      <a:fillRect/>
                    </a:stretch>
                  </pic:blipFill>
                  <pic:spPr>
                    <a:xfrm>
                      <a:off x="0" y="0"/>
                      <a:ext cx="6080760" cy="2980967"/>
                    </a:xfrm>
                    <a:prstGeom prst="rect"/>
                  </pic:spPr>
                </pic:pic>
              </a:graphicData>
            </a:graphic>
          </wp:inline>
        </w:drawing>
      </w:r>
    </w:p>
    <w:p>
      <w:pPr>
        <w:keepNext w:val="0"/>
        <w:keepLines w:val="0"/>
        <w:widowControl/>
        <w:spacing w:before="40" w:after="140" w:line="240" w:lineRule="auto"/>
        <w:jc w:val="center"/>
      </w:pPr>
      <w:r>
        <w:rPr>
          <w:rFonts w:ascii="Inter" w:hAnsi="Inter"/>
          <w:b w:val="0"/>
          <w:i/>
          <w:color w:val="5A6872"/>
          <w:sz w:val="16"/>
        </w:rPr>
        <w:t>Figure 3. Hybrid neural-operator patterns.</w:t>
      </w:r>
    </w:p>
    <w:p>
      <w:pPr>
        <w:pStyle w:val="Heading2"/>
        <w:keepNext/>
        <w:keepLines w:val="0"/>
        <w:widowControl/>
        <w:spacing w:before="140" w:after="80" w:line="240" w:lineRule="auto"/>
      </w:pPr>
      <w:r>
        <w:rPr>
          <w:rFonts w:ascii="Lato" w:hAnsi="Lato"/>
          <w:b/>
          <w:i w:val="0"/>
          <w:color w:val="19344A"/>
          <w:sz w:val="24"/>
        </w:rPr>
        <w:t>5.2 Why outer-solver hybrids matter commercially</w:t>
      </w:r>
    </w:p>
    <w:p>
      <w:pPr>
        <w:keepNext w:val="0"/>
        <w:keepLines w:val="0"/>
        <w:widowControl/>
        <w:spacing w:before="0" w:after="100" w:line="259" w:lineRule="auto"/>
      </w:pPr>
      <w:r>
        <w:rPr>
          <w:rFonts w:ascii="Inter" w:hAnsi="Inter"/>
          <w:b w:val="0"/>
          <w:i w:val="0"/>
          <w:color w:val="1E2933"/>
          <w:sz w:val="19"/>
        </w:rPr>
        <w:t>NOWS uses a neural operator to initialize CG, GMRES or related iterative solvers, leaving the registered discretization and final algebraic solve in place. HINTS alternates a learned operator with relaxation methods to attack different spectral error components. Recent learned-coarse-space, domain-decomposition and neural-element work places operators inside multilevel, Schwarz or monolithic variational assemblies. Convex neural energy elements add a structure-preserving direction by learning an energy rather than only a field and enforcing convexity/nullspace conditions before assembly. [E13,E15-E19,E41]</w:t>
      </w:r>
    </w:p>
    <w:p>
      <w:pPr>
        <w:pStyle w:val="ListBullet"/>
        <w:keepNext w:val="0"/>
        <w:keepLines w:val="0"/>
        <w:widowControl/>
        <w:spacing w:before="0" w:after="50" w:line="250" w:lineRule="auto"/>
      </w:pPr>
      <w:r>
        <w:rPr>
          <w:rFonts w:ascii="Inter" w:hAnsi="Inter"/>
          <w:b w:val="0"/>
          <w:i w:val="0"/>
          <w:color w:val="1E2933"/>
          <w:sz w:val="18"/>
        </w:rPr>
        <w:t>The customer retains a familiar solver, residual and fallback path.</w:t>
      </w:r>
    </w:p>
    <w:p>
      <w:pPr>
        <w:pStyle w:val="ListBullet"/>
        <w:keepNext w:val="0"/>
        <w:keepLines w:val="0"/>
        <w:widowControl/>
        <w:spacing w:before="0" w:after="50" w:line="250" w:lineRule="auto"/>
      </w:pPr>
      <w:r>
        <w:rPr>
          <w:rFonts w:ascii="Inter" w:hAnsi="Inter"/>
          <w:b w:val="0"/>
          <w:i w:val="0"/>
          <w:color w:val="1E2933"/>
          <w:sz w:val="18"/>
        </w:rPr>
        <w:t>Carbon can claim bounded acceleration rather than universal replacement.</w:t>
      </w:r>
    </w:p>
    <w:p>
      <w:pPr>
        <w:pStyle w:val="ListBullet"/>
        <w:keepNext w:val="0"/>
        <w:keepLines w:val="0"/>
        <w:widowControl/>
        <w:spacing w:before="0" w:after="50" w:line="250" w:lineRule="auto"/>
      </w:pPr>
      <w:r>
        <w:rPr>
          <w:rFonts w:ascii="Inter" w:hAnsi="Inter"/>
          <w:b w:val="0"/>
          <w:i w:val="0"/>
          <w:color w:val="1E2933"/>
          <w:sz w:val="18"/>
        </w:rPr>
        <w:t>Fresh hidden instances remain practical because the outer solver can finish difficult cases.</w:t>
      </w:r>
    </w:p>
    <w:p>
      <w:pPr>
        <w:pStyle w:val="ListBullet"/>
        <w:keepNext w:val="0"/>
        <w:keepLines w:val="0"/>
        <w:widowControl/>
        <w:spacing w:before="0" w:after="50" w:line="250" w:lineRule="auto"/>
      </w:pPr>
      <w:r>
        <w:rPr>
          <w:rFonts w:ascii="Inter" w:hAnsi="Inter"/>
          <w:b w:val="0"/>
          <w:i w:val="0"/>
          <w:color w:val="1E2933"/>
          <w:sz w:val="18"/>
        </w:rPr>
        <w:t>Training failures can degrade speed without necessarily corrupting the final discrete solution, provided the correction path remains qualified.</w:t>
      </w:r>
    </w:p>
    <w:p>
      <w:pPr>
        <w:pStyle w:val="ListBullet"/>
        <w:keepNext w:val="0"/>
        <w:keepLines w:val="0"/>
        <w:widowControl/>
        <w:spacing w:before="0" w:after="50" w:line="250" w:lineRule="auto"/>
      </w:pPr>
      <w:r>
        <w:rPr>
          <w:rFonts w:ascii="Inter" w:hAnsi="Inter"/>
          <w:b w:val="0"/>
          <w:i w:val="0"/>
          <w:color w:val="1E2933"/>
          <w:sz w:val="18"/>
        </w:rPr>
        <w:t>The architecture still needs end-to-end evidence. A converged algebraic residual only proves the chosen discrete model was solved; it does not erase discretization or model-form error.</w:t>
      </w:r>
    </w:p>
    <w:p>
      <w:pPr>
        <w:pStyle w:val="Heading2"/>
        <w:keepNext/>
        <w:keepLines w:val="0"/>
        <w:widowControl/>
        <w:spacing w:before="140" w:after="80" w:line="240" w:lineRule="auto"/>
      </w:pPr>
      <w:r>
        <w:rPr>
          <w:rFonts w:ascii="Lato" w:hAnsi="Lato"/>
          <w:b/>
          <w:i w:val="0"/>
          <w:color w:val="19344A"/>
          <w:sz w:val="24"/>
        </w:rPr>
        <w:t>5.3 Failure modes a GTM document must not hide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Failure</w:t>
            </w:r>
          </w:p>
        </w:tc>
        <w:tc>
          <w:tcPr>
            <w:tcW w:type="dxa" w:w="345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Why it matters</w:t>
            </w:r>
          </w:p>
        </w:tc>
        <w:tc>
          <w:tcPr>
            <w:tcW w:type="dxa" w:w="374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Carbon requirement</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Unsafe nonlinear warm starts</w:t>
            </w:r>
          </w:p>
        </w:tc>
        <w:tc>
          <w:tcPr>
            <w:tcW w:type="dxa" w:w="34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Low global L2 error can leave local states that make a Newton Jacobian indefinite or place the iterate outside the basin. [E14]</w:t>
            </w:r>
          </w:p>
        </w:tc>
        <w:tc>
          <w:tcPr>
            <w:tcW w:type="dxa" w:w="37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Qualify state bounds, local residuals, energy/entropy and Jacobian/spectral conditions before handoff.</w:t>
            </w:r>
          </w:p>
        </w:tc>
      </w:tr>
      <w:tr>
        <w:trPr>
          <w:cantSplit/>
        </w:trPr>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False or slow fixed points</w:t>
            </w:r>
          </w:p>
        </w:tc>
        <w:tc>
          <w:tcPr>
            <w:tcW w:type="dxa" w:w="34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learned corrector can reduce one error band while stalling another.</w:t>
            </w:r>
          </w:p>
        </w:tc>
        <w:tc>
          <w:tcPr>
            <w:tcW w:type="dxa" w:w="37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Retain full residual histories, worst-stratum iteration counts and a deterministic fallback.</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High-frequency breakdown</w:t>
            </w:r>
          </w:p>
        </w:tc>
        <w:tc>
          <w:tcPr>
            <w:tcW w:type="dxa" w:w="34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Fixed learned coarse spaces can lose effectiveness as Helmholtz wave number or coefficient contrast grows. [E17]</w:t>
            </w:r>
          </w:p>
        </w:tc>
        <w:tc>
          <w:tcPr>
            <w:tcW w:type="dxa" w:w="37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Bind the envelope to nondimensional difficulty and require failure maps.</w:t>
            </w:r>
          </w:p>
        </w:tc>
      </w:tr>
      <w:tr>
        <w:trPr>
          <w:cantSplit/>
        </w:trPr>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Hidden overhead</w:t>
            </w:r>
          </w:p>
        </w:tc>
        <w:tc>
          <w:tcPr>
            <w:tcW w:type="dxa" w:w="34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Inference, device transfer, assembly, failed attempts and fallbacks can erase headline speedups.</w:t>
            </w:r>
          </w:p>
        </w:tc>
        <w:tc>
          <w:tcPr>
            <w:tcW w:type="dxa" w:w="37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Report end-to-end wall clock and cost under the same hardware/resource policy.</w:t>
            </w:r>
          </w:p>
        </w:tc>
      </w:tr>
      <w:tr>
        <w:trPr>
          <w:cantSplit/>
        </w:trPr>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Correlated reference error</w:t>
            </w:r>
          </w:p>
        </w:tc>
        <w:tc>
          <w:tcPr>
            <w:tcW w:type="dxa" w:w="34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Training data and final solver may share code, mesh, discretization or personnel.</w:t>
            </w:r>
          </w:p>
        </w:tc>
        <w:tc>
          <w:tcPr>
            <w:tcW w:type="dxa" w:w="37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Use independent reference roles and disclose correlation limits.</w:t>
            </w:r>
          </w:p>
        </w:tc>
      </w:tr>
    </w:tbl>
    <w:p>
      <w:pPr>
        <w:spacing w:after="20"/>
      </w:pPr>
    </w:p>
    <w:p>
      <w:pPr>
        <w:pStyle w:val="Heading2"/>
        <w:keepNext/>
        <w:keepLines w:val="0"/>
        <w:widowControl/>
        <w:spacing w:before="140" w:after="80" w:line="240" w:lineRule="auto"/>
      </w:pPr>
      <w:r>
        <w:rPr>
          <w:rFonts w:ascii="Lato" w:hAnsi="Lato"/>
          <w:b/>
          <w:i w:val="0"/>
          <w:color w:val="19344A"/>
          <w:sz w:val="24"/>
        </w:rPr>
        <w:t>5.4 Attribution: Anima Anandkumar’s relevant line</w:t>
      </w:r>
    </w:p>
    <w:p>
      <w:pPr>
        <w:keepNext w:val="0"/>
        <w:keepLines w:val="0"/>
        <w:widowControl/>
        <w:spacing w:before="0" w:after="100" w:line="259" w:lineRule="auto"/>
      </w:pPr>
      <w:r>
        <w:rPr>
          <w:rFonts w:ascii="Inter" w:hAnsi="Inter"/>
          <w:b w:val="0"/>
          <w:i w:val="0"/>
          <w:color w:val="1E2933"/>
          <w:sz w:val="19"/>
        </w:rPr>
        <w:t>The explicit outer-iterative-solver examples in this memo are NOWS, HINTS, learned coarse corrections, domain decomposition and related hybrid methods. They are not primarily the Anandkumar group’s papers. The Anandkumar line remains highly relevant through PINO, multi-resolution physics constraints, the argument for end-to-end operators beyond non-unique closure maps, and recent scale-consistent learning. [E9–E12]</w:t>
      </w:r>
    </w:p>
    <w:tbl>
      <w:tblPr>
        <w:tblW w:type="auto" w:w="0"/>
        <w:jc w:val="center"/>
        <w:tblLayout w:type="fixed"/>
        <w:tblLook w:firstColumn="1" w:firstRow="1" w:lastColumn="0" w:lastRow="0" w:noHBand="0" w:noVBand="1" w:val="04A0"/>
      </w:tblPr>
      <w:tblGrid>
        <w:gridCol w:w="10080"/>
      </w:tblGrid>
      <w:tr>
        <w:tc>
          <w:tcPr>
            <w:tcW w:type="dxa" w:w="10080"/>
            <w:shd w:fill="F1EBF8"/>
            <w:tcBorders>
              <w:top w:sz="8" w:val="single" w:color="6B46A1"/>
              <w:left w:sz="18" w:val="single" w:color="6B46A1"/>
              <w:bottom w:sz="8" w:val="single" w:color="6B46A1"/>
              <w:right w:sz="8" w:val="single" w:color="6B46A1"/>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6B46A1"/>
                <w:sz w:val="19"/>
              </w:rPr>
              <w:t xml:space="preserve">Carbon synthesis  </w:t>
            </w:r>
            <w:r>
              <w:rPr>
                <w:rFonts w:ascii="Inter" w:hAnsi="Inter"/>
                <w:b w:val="0"/>
                <w:i w:val="0"/>
                <w:color w:val="1E2933"/>
                <w:sz w:val="18"/>
              </w:rPr>
              <w:t>Treat these lines as complementary experiments. In reference-rich regimes, test a free-running operator. In hard regimes, compare it against warm-start, preconditioned, domain-decomposed and residual-correction variants under one protected exam and one end-to-end cost policy.</w:t>
            </w:r>
          </w:p>
        </w:tc>
        <w:trPr>
          <w:tblHeader/>
        </w:trPr>
      </w:tr>
    </w:tbl>
    <w:p>
      <w:pPr>
        <w:spacing w:after="20"/>
      </w:pPr>
    </w:p>
    <w:p>
      <w:pPr>
        <w:keepNext/>
        <w:keepLines w:val="0"/>
        <w:widowControl/>
        <w:spacing w:before="200" w:after="100" w:line="240" w:lineRule="auto"/>
      </w:pPr>
      <w:r>
        <w:rPr>
          <w:rFonts w:ascii="Lato" w:hAnsi="Lato"/>
          <w:b/>
          <w:i w:val="0"/>
          <w:color w:val="177E89"/>
          <w:sz w:val="21"/>
        </w:rPr>
        <w:t>6</w:t>
      </w:r>
      <w:r>
        <w:rPr>
          <w:rFonts w:ascii="Lato" w:hAnsi="Lato"/>
          <w:b/>
          <w:i w:val="0"/>
          <w:color w:val="19344A"/>
          <w:sz w:val="36"/>
        </w:rPr>
        <w:t xml:space="preserve">  GTM product architecture</w:t>
      </w:r>
    </w:p>
    <w:p>
      <w:pPr>
        <w:keepNext/>
        <w:keepLines w:val="0"/>
        <w:widowControl/>
        <w:spacing w:before="0" w:after="160" w:line="259" w:lineRule="auto"/>
      </w:pPr>
      <w:r>
        <w:rPr>
          <w:rFonts w:ascii="Inter" w:hAnsi="Inter"/>
          <w:b w:val="0"/>
          <w:i/>
          <w:color w:val="5A6872"/>
          <w:sz w:val="18"/>
        </w:rPr>
        <w:t>Package the evidence, not only the model checkpoint.</w:t>
      </w:r>
    </w:p>
    <w:p>
      <w:pPr>
        <w:pStyle w:val="Heading2"/>
        <w:keepNext/>
        <w:keepLines w:val="0"/>
        <w:widowControl/>
        <w:spacing w:before="140" w:after="80" w:line="240" w:lineRule="auto"/>
      </w:pPr>
      <w:r>
        <w:rPr>
          <w:rFonts w:ascii="Lato" w:hAnsi="Lato"/>
          <w:b/>
          <w:i w:val="0"/>
          <w:color w:val="19344A"/>
          <w:sz w:val="24"/>
        </w:rPr>
        <w:t>6.1 Customer job archetypes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Customer job</w:t>
            </w:r>
          </w:p>
        </w:tc>
        <w:tc>
          <w:tcPr>
            <w:tcW w:type="dxa" w:w="3311"/>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Simulation bottleneck</w:t>
            </w:r>
          </w:p>
        </w:tc>
        <w:tc>
          <w:tcPr>
            <w:tcW w:type="dxa" w:w="360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Best Carbon offer</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Many-query design optimization</w:t>
            </w:r>
          </w:p>
        </w:tc>
        <w:tc>
          <w:tcPr>
            <w:tcW w:type="dxa" w:w="331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Thousands to millions of related forward solves across designs or parameters.</w:t>
            </w:r>
          </w:p>
        </w:tc>
        <w:tc>
          <w:tcPr>
            <w:tcW w:type="dxa" w:w="36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Surrogate or solver accelerator; differentiability can support inverse design.</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Real-time / control loop</w:t>
            </w:r>
          </w:p>
        </w:tc>
        <w:tc>
          <w:tcPr>
            <w:tcW w:type="dxa" w:w="331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Fast inference under a bounded operating envelope.</w:t>
            </w:r>
          </w:p>
        </w:tc>
        <w:tc>
          <w:tcPr>
            <w:tcW w:type="dxa" w:w="36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Qualified surrogate with OOD rejection and higher-fidelity escalation.</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Uncertainty quantification</w:t>
            </w:r>
          </w:p>
        </w:tc>
        <w:tc>
          <w:tcPr>
            <w:tcW w:type="dxa" w:w="331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Large ensembles, sensitivity analysis and risk screening.</w:t>
            </w:r>
          </w:p>
        </w:tc>
        <w:tc>
          <w:tcPr>
            <w:tcW w:type="dxa" w:w="36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Surrogate/accelerator plus coverage and tail evidence.</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Digital twin / monitoring</w:t>
            </w:r>
          </w:p>
        </w:tc>
        <w:tc>
          <w:tcPr>
            <w:tcW w:type="dxa" w:w="331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Repeated state estimation and prediction from operational data.</w:t>
            </w:r>
          </w:p>
        </w:tc>
        <w:tc>
          <w:tcPr>
            <w:tcW w:type="dxa" w:w="36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Lifecycle qualification, drift detection and escalation.</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High-fidelity solver acceleration</w:t>
            </w:r>
          </w:p>
        </w:tc>
        <w:tc>
          <w:tcPr>
            <w:tcW w:type="dxa" w:w="3311"/>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Existing CAE solver is trusted but too slow.</w:t>
            </w:r>
          </w:p>
        </w:tc>
        <w:tc>
          <w:tcPr>
            <w:tcW w:type="dxa" w:w="36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Warm start, preconditioner, local operator or defect correction.</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Inverse design / parameter inference</w:t>
            </w:r>
          </w:p>
        </w:tc>
        <w:tc>
          <w:tcPr>
            <w:tcW w:type="dxa" w:w="3311"/>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Optimize geometry, material or forcing through a differentiable physical map.</w:t>
            </w:r>
          </w:p>
        </w:tc>
        <w:tc>
          <w:tcPr>
            <w:tcW w:type="dxa" w:w="36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Operator plus a qualified forward model and validation of inverse sensitivity.</w:t>
            </w:r>
          </w:p>
        </w:tc>
      </w:tr>
    </w:tbl>
    <w:p>
      <w:pPr>
        <w:spacing w:after="20"/>
      </w:pPr>
    </w:p>
    <w:p>
      <w:pPr>
        <w:pStyle w:val="Heading2"/>
        <w:keepNext/>
        <w:keepLines w:val="0"/>
        <w:widowControl/>
        <w:spacing w:before="140" w:after="80" w:line="240" w:lineRule="auto"/>
      </w:pPr>
      <w:r>
        <w:rPr>
          <w:rFonts w:ascii="Lato" w:hAnsi="Lato"/>
          <w:b/>
          <w:i w:val="0"/>
          <w:color w:val="19344A"/>
          <w:sz w:val="24"/>
        </w:rPr>
        <w:t>6.2 Evidence package for a solver accelerator</w:t>
      </w:r>
    </w:p>
    <w:p>
      <w:pPr>
        <w:pStyle w:val="ListBullet"/>
        <w:keepNext w:val="0"/>
        <w:keepLines w:val="0"/>
        <w:widowControl/>
        <w:spacing w:before="0" w:after="50" w:line="250" w:lineRule="auto"/>
      </w:pPr>
      <w:r>
        <w:rPr>
          <w:rFonts w:ascii="Inter" w:hAnsi="Inter"/>
          <w:b w:val="0"/>
          <w:i w:val="0"/>
          <w:color w:val="1E2933"/>
          <w:sz w:val="18"/>
        </w:rPr>
        <w:t>Exact customer job, operating population and requested outputs;</w:t>
      </w:r>
    </w:p>
    <w:p>
      <w:pPr>
        <w:pStyle w:val="ListBullet"/>
        <w:keepNext w:val="0"/>
        <w:keepLines w:val="0"/>
        <w:widowControl/>
        <w:spacing w:before="0" w:after="50" w:line="250" w:lineRule="auto"/>
      </w:pPr>
      <w:r>
        <w:rPr>
          <w:rFonts w:ascii="Inter" w:hAnsi="Inter"/>
          <w:b w:val="0"/>
          <w:i w:val="0"/>
          <w:color w:val="1E2933"/>
          <w:sz w:val="18"/>
        </w:rPr>
        <w:t>registered baseline solver, mesh/discretization policy and reference role;</w:t>
      </w:r>
    </w:p>
    <w:p>
      <w:pPr>
        <w:pStyle w:val="ListBullet"/>
        <w:keepNext w:val="0"/>
        <w:keepLines w:val="0"/>
        <w:widowControl/>
        <w:spacing w:before="0" w:after="50" w:line="250" w:lineRule="auto"/>
      </w:pPr>
      <w:r>
        <w:rPr>
          <w:rFonts w:ascii="Inter" w:hAnsi="Inter"/>
          <w:b w:val="0"/>
          <w:i w:val="0"/>
          <w:color w:val="1E2933"/>
          <w:sz w:val="18"/>
        </w:rPr>
        <w:t>neural component identity, training provenance and offline data rights;</w:t>
      </w:r>
    </w:p>
    <w:p>
      <w:pPr>
        <w:pStyle w:val="ListBullet"/>
        <w:keepNext w:val="0"/>
        <w:keepLines w:val="0"/>
        <w:widowControl/>
        <w:spacing w:before="0" w:after="50" w:line="250" w:lineRule="auto"/>
      </w:pPr>
      <w:r>
        <w:rPr>
          <w:rFonts w:ascii="Inter" w:hAnsi="Inter"/>
          <w:b w:val="0"/>
          <w:i w:val="0"/>
          <w:color w:val="1E2933"/>
          <w:sz w:val="18"/>
        </w:rPr>
        <w:t>end-to-end runtime, iteration, memory, failure and fallback evidence;</w:t>
      </w:r>
    </w:p>
    <w:p>
      <w:pPr>
        <w:pStyle w:val="ListBullet"/>
        <w:keepNext w:val="0"/>
        <w:keepLines w:val="0"/>
        <w:widowControl/>
        <w:spacing w:before="0" w:after="50" w:line="250" w:lineRule="auto"/>
      </w:pPr>
      <w:r>
        <w:rPr>
          <w:rFonts w:ascii="Inter" w:hAnsi="Inter"/>
          <w:b w:val="0"/>
          <w:i w:val="0"/>
          <w:color w:val="1E2933"/>
          <w:sz w:val="18"/>
        </w:rPr>
        <w:t>final residual, physical measurements and comparison against stronger reference anchors;</w:t>
      </w:r>
    </w:p>
    <w:p>
      <w:pPr>
        <w:pStyle w:val="ListBullet"/>
        <w:keepNext w:val="0"/>
        <w:keepLines w:val="0"/>
        <w:widowControl/>
        <w:spacing w:before="0" w:after="50" w:line="250" w:lineRule="auto"/>
      </w:pPr>
      <w:r>
        <w:rPr>
          <w:rFonts w:ascii="Inter" w:hAnsi="Inter"/>
          <w:b w:val="0"/>
          <w:i w:val="0"/>
          <w:color w:val="1E2933"/>
          <w:sz w:val="18"/>
        </w:rPr>
        <w:t>OOD/escalation conditions and a requalification policy for model, runtime, hardware and envelope changes.</w:t>
      </w:r>
    </w:p>
    <w:p>
      <w:pPr>
        <w:pStyle w:val="Heading2"/>
        <w:keepNext/>
        <w:keepLines w:val="0"/>
        <w:widowControl/>
        <w:spacing w:before="140" w:after="80" w:line="240" w:lineRule="auto"/>
      </w:pPr>
      <w:r>
        <w:rPr>
          <w:rFonts w:ascii="Lato" w:hAnsi="Lato"/>
          <w:b/>
          <w:i w:val="0"/>
          <w:color w:val="19344A"/>
          <w:sz w:val="24"/>
        </w:rPr>
        <w:t>6.3 Evidence package for a free-running surrogate</w:t>
      </w:r>
    </w:p>
    <w:p>
      <w:pPr>
        <w:pStyle w:val="ListBullet"/>
        <w:keepNext w:val="0"/>
        <w:keepLines w:val="0"/>
        <w:widowControl/>
        <w:spacing w:before="0" w:after="50" w:line="250" w:lineRule="auto"/>
      </w:pPr>
      <w:r>
        <w:rPr>
          <w:rFonts w:ascii="Inter" w:hAnsi="Inter"/>
          <w:b w:val="0"/>
          <w:i w:val="0"/>
          <w:color w:val="1E2933"/>
          <w:sz w:val="18"/>
        </w:rPr>
        <w:t>all accelerator evidence that remains applicable, plus output-contract and representation fidelity;</w:t>
      </w:r>
    </w:p>
    <w:p>
      <w:pPr>
        <w:pStyle w:val="ListBullet"/>
        <w:keepNext w:val="0"/>
        <w:keepLines w:val="0"/>
        <w:widowControl/>
        <w:spacing w:before="0" w:after="50" w:line="250" w:lineRule="auto"/>
      </w:pPr>
      <w:r>
        <w:rPr>
          <w:rFonts w:ascii="Inter" w:hAnsi="Inter"/>
          <w:b w:val="0"/>
          <w:i w:val="0"/>
          <w:color w:val="1E2933"/>
          <w:sz w:val="18"/>
        </w:rPr>
        <w:t>mandatory physical admissibility and stress behavior under hidden in-envelope cases;</w:t>
      </w:r>
    </w:p>
    <w:p>
      <w:pPr>
        <w:pStyle w:val="ListBullet"/>
        <w:keepNext w:val="0"/>
        <w:keepLines w:val="0"/>
        <w:widowControl/>
        <w:spacing w:before="0" w:after="50" w:line="250" w:lineRule="auto"/>
      </w:pPr>
      <w:r>
        <w:rPr>
          <w:rFonts w:ascii="Inter" w:hAnsi="Inter"/>
          <w:b w:val="0"/>
          <w:i w:val="0"/>
          <w:color w:val="1E2933"/>
          <w:sz w:val="18"/>
        </w:rPr>
        <w:t>uncertainty or answerability policy that can reject unsupported inputs;</w:t>
      </w:r>
    </w:p>
    <w:p>
      <w:pPr>
        <w:pStyle w:val="ListBullet"/>
        <w:keepNext w:val="0"/>
        <w:keepLines w:val="0"/>
        <w:widowControl/>
        <w:spacing w:before="0" w:after="50" w:line="250" w:lineRule="auto"/>
      </w:pPr>
      <w:r>
        <w:rPr>
          <w:rFonts w:ascii="Inter" w:hAnsi="Inter"/>
          <w:b w:val="0"/>
          <w:i w:val="0"/>
          <w:color w:val="1E2933"/>
          <w:sz w:val="18"/>
        </w:rPr>
        <w:t>Product Candidate Model Card, Product Battery Record and Qualification Record;</w:t>
      </w:r>
    </w:p>
    <w:p>
      <w:pPr>
        <w:pStyle w:val="ListBullet"/>
        <w:keepNext w:val="0"/>
        <w:keepLines w:val="0"/>
        <w:widowControl/>
        <w:spacing w:before="0" w:after="50" w:line="250" w:lineRule="auto"/>
      </w:pPr>
      <w:r>
        <w:rPr>
          <w:rFonts w:ascii="Inter" w:hAnsi="Inter"/>
          <w:b w:val="0"/>
          <w:i w:val="0"/>
          <w:color w:val="1E2933"/>
          <w:sz w:val="18"/>
        </w:rPr>
        <w:t>deployment parity, precision/runtime identity and a route back to the qualified solver or engineer.</w:t>
      </w:r>
    </w:p>
    <w:p>
      <w:pPr>
        <w:keepNext/>
        <w:keepLines w:val="0"/>
        <w:widowControl/>
        <w:spacing w:before="200" w:after="100" w:line="240" w:lineRule="auto"/>
      </w:pPr>
      <w:r>
        <w:rPr>
          <w:rFonts w:ascii="Lato" w:hAnsi="Lato"/>
          <w:b/>
          <w:i w:val="0"/>
          <w:color w:val="177E89"/>
          <w:sz w:val="21"/>
        </w:rPr>
        <w:t>7</w:t>
      </w:r>
      <w:r>
        <w:rPr>
          <w:rFonts w:ascii="Lato" w:hAnsi="Lato"/>
          <w:b/>
          <w:i w:val="0"/>
          <w:color w:val="19344A"/>
          <w:sz w:val="36"/>
        </w:rPr>
        <w:t xml:space="preserve">  Opportunity portfolio</w:t>
      </w:r>
    </w:p>
    <w:p>
      <w:pPr>
        <w:keepNext/>
        <w:keepLines w:val="0"/>
        <w:widowControl/>
        <w:spacing w:before="0" w:after="160" w:line="259" w:lineRule="auto"/>
      </w:pPr>
      <w:r>
        <w:rPr>
          <w:rFonts w:ascii="Inter" w:hAnsi="Inter"/>
          <w:b w:val="0"/>
          <w:i/>
          <w:color w:val="5A6872"/>
          <w:sz w:val="18"/>
        </w:rPr>
        <w:t>A staged portfolio keeps judge proof, customer pull and hard-physics research separate.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Track</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Regimes</w:t>
            </w:r>
          </w:p>
        </w:tc>
        <w:tc>
          <w:tcPr>
            <w:tcW w:type="dxa" w:w="316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Objective</w:t>
            </w:r>
          </w:p>
        </w:tc>
        <w:tc>
          <w:tcPr>
            <w:tcW w:type="dxa" w:w="273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Decision rule</w:t>
            </w:r>
          </w:p>
        </w:tc>
      </w:tr>
      <w:tr>
        <w:trPr>
          <w:cantSplit/>
        </w:trPr>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Track J : Judge proof</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Burgers, Poisson, diffusion.</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Prove generator/reference/measurement qualification across three reference styles.</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Scientific credibility and reusable qualification machinery.</w:t>
            </w:r>
          </w:p>
        </w:tc>
      </w:tr>
      <w:tr>
        <w:trPr>
          <w:cantSplit/>
        </w:trPr>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Track T : Thermal hypothesis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Conduction → nonlinear conduction → interfaces → Graetz → canonical CHT → customer CHT.</w:t>
            </w:r>
          </w:p>
        </w:tc>
        <w:tc>
          <w:tcPr>
            <w:tcW w:type="dxa" w:w="31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Test a commercially plausible ladder without skipping evidence stages.</w:t>
            </w:r>
          </w:p>
        </w:tc>
        <w:tc>
          <w:tcPr>
            <w:tcW w:type="dxa" w:w="27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Customer evidence, ValidationPack and product qualification remain gating.</w:t>
            </w:r>
          </w:p>
        </w:tc>
      </w:tr>
      <w:tr>
        <w:trPr>
          <w:cantSplit/>
        </w:trPr>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Track I : Second industrial vertical</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Linear elasticity, acoustics/vibration, electrostatics/Maxwell or Darcy based on customer pull.</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Avoid overconcentration in thermal and test transfer of the judge.</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Choose by prospective customer evidence, not matrix score alone.</w:t>
            </w:r>
          </w:p>
        </w:tc>
      </w:tr>
      <w:tr>
        <w:trPr>
          <w:cantSplit/>
        </w:trPr>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Track H : Hybrid acceleration</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CFD, Maxwell, nonlinear solids, CHT and porous flow.</w:t>
            </w:r>
          </w:p>
        </w:tc>
        <w:tc>
          <w:tcPr>
            <w:tcW w:type="dxa" w:w="316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Prove warm start/preconditioner/domain decomposition patterns under a common exam.</w:t>
            </w:r>
          </w:p>
        </w:tc>
        <w:tc>
          <w:tcPr>
            <w:tcW w:type="dxa" w:w="27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A safer entry to hard regimes.</w:t>
            </w:r>
          </w:p>
        </w:tc>
      </w:tr>
      <w:tr>
        <w:trPr>
          <w:cantSplit/>
        </w:trPr>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Track P : Partner-funded hard physics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Turbulence, combustion, multiphase, fracture, FSI, batteries.</w:t>
            </w:r>
          </w:p>
        </w:tc>
        <w:tc>
          <w:tcPr>
            <w:tcW w:type="dxa" w:w="316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Use partner reference assets and narrow contexts of use.</w:t>
            </w:r>
          </w:p>
        </w:tc>
        <w:tc>
          <w:tcPr>
            <w:tcW w:type="dxa" w:w="27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Do not subsidize model-form validation without customer value.</w:t>
            </w:r>
          </w:p>
        </w:tc>
      </w:tr>
    </w:tbl>
    <w:p>
      <w:pPr>
        <w:spacing w:after="20"/>
      </w:pPr>
    </w:p>
    <w:p>
      <w:pPr>
        <w:pStyle w:val="Heading2"/>
        <w:keepNext/>
        <w:keepLines w:val="0"/>
        <w:widowControl/>
        <w:spacing w:before="140" w:after="80" w:line="240" w:lineRule="auto"/>
      </w:pPr>
      <w:r>
        <w:rPr>
          <w:rFonts w:ascii="Lato" w:hAnsi="Lato"/>
          <w:b/>
          <w:i w:val="0"/>
          <w:color w:val="19344A"/>
          <w:sz w:val="24"/>
        </w:rPr>
        <w:t>7.1 Research-stage decision questions</w:t>
      </w:r>
    </w:p>
    <w:p>
      <w:pPr>
        <w:pStyle w:val="ListBullet"/>
        <w:keepNext w:val="0"/>
        <w:keepLines w:val="0"/>
        <w:widowControl/>
        <w:spacing w:before="0" w:after="50" w:line="250" w:lineRule="auto"/>
      </w:pPr>
      <w:r>
        <w:rPr>
          <w:rFonts w:ascii="Inter" w:hAnsi="Inter"/>
          <w:b w:val="0"/>
          <w:i w:val="0"/>
          <w:color w:val="1E2933"/>
          <w:sz w:val="18"/>
        </w:rPr>
        <w:t>Can Carbon define a meaningful target population rather than a convenient parameter box?</w:t>
      </w:r>
    </w:p>
    <w:p>
      <w:pPr>
        <w:pStyle w:val="ListBullet"/>
        <w:keepNext w:val="0"/>
        <w:keepLines w:val="0"/>
        <w:widowControl/>
        <w:spacing w:before="0" w:after="50" w:line="250" w:lineRule="auto"/>
      </w:pPr>
      <w:r>
        <w:rPr>
          <w:rFonts w:ascii="Inter" w:hAnsi="Inter"/>
          <w:b w:val="0"/>
          <w:i w:val="0"/>
          <w:color w:val="1E2933"/>
          <w:sz w:val="18"/>
        </w:rPr>
        <w:t>Can a reference policy resolve the smallest comparison Carbon intends to make?</w:t>
      </w:r>
    </w:p>
    <w:p>
      <w:pPr>
        <w:pStyle w:val="ListBullet"/>
        <w:keepNext w:val="0"/>
        <w:keepLines w:val="0"/>
        <w:widowControl/>
        <w:spacing w:before="0" w:after="50" w:line="250" w:lineRule="auto"/>
      </w:pPr>
      <w:r>
        <w:rPr>
          <w:rFonts w:ascii="Inter" w:hAnsi="Inter"/>
          <w:b w:val="0"/>
          <w:i w:val="0"/>
          <w:color w:val="1E2933"/>
          <w:sz w:val="18"/>
        </w:rPr>
        <w:t>Can Carbon generate fresh hidden cases without giving difficult regions weaker truth?</w:t>
      </w:r>
    </w:p>
    <w:p>
      <w:pPr>
        <w:pStyle w:val="ListBullet"/>
        <w:keepNext w:val="0"/>
        <w:keepLines w:val="0"/>
        <w:widowControl/>
        <w:spacing w:before="0" w:after="50" w:line="250" w:lineRule="auto"/>
      </w:pPr>
      <w:r>
        <w:rPr>
          <w:rFonts w:ascii="Inter" w:hAnsi="Inter"/>
          <w:b w:val="0"/>
          <w:i w:val="0"/>
          <w:color w:val="1E2933"/>
          <w:sz w:val="18"/>
        </w:rPr>
        <w:t>Does the customer need a free-running surrogate, or would solver acceleration deliver most of the value with less risk?</w:t>
      </w:r>
    </w:p>
    <w:p>
      <w:pPr>
        <w:pStyle w:val="ListBullet"/>
        <w:keepNext w:val="0"/>
        <w:keepLines w:val="0"/>
        <w:widowControl/>
        <w:spacing w:before="0" w:after="50" w:line="250" w:lineRule="auto"/>
      </w:pPr>
      <w:r>
        <w:rPr>
          <w:rFonts w:ascii="Inter" w:hAnsi="Inter"/>
          <w:b w:val="0"/>
          <w:i w:val="0"/>
          <w:color w:val="1E2933"/>
          <w:sz w:val="18"/>
        </w:rPr>
        <w:t>Which output drives the engineering decision: full field, integral, event time, probability, spectrum or worst-stratum bound?</w:t>
      </w:r>
    </w:p>
    <w:p>
      <w:pPr>
        <w:pStyle w:val="ListBullet"/>
        <w:keepNext w:val="0"/>
        <w:keepLines w:val="0"/>
        <w:widowControl/>
        <w:spacing w:before="0" w:after="50" w:line="250" w:lineRule="auto"/>
      </w:pPr>
      <w:r>
        <w:rPr>
          <w:rFonts w:ascii="Inter" w:hAnsi="Inter"/>
          <w:b w:val="0"/>
          <w:i w:val="0"/>
          <w:color w:val="1E2933"/>
          <w:sz w:val="18"/>
        </w:rPr>
        <w:t>What evidence would falsify the commercial wedge, and who owns that decision?</w:t>
      </w:r>
    </w:p>
    <w:p>
      <w:pPr>
        <w:sectPr>
          <w:headerReference w:type="default" r:id="rId9"/>
          <w:footerReference w:type="default" r:id="rId10"/>
          <w:pgSz w:w="12240" w:h="15840"/>
          <w:pgMar w:top="893" w:right="1080" w:bottom="893" w:left="1080" w:header="720" w:footer="720" w:gutter="0"/>
          <w:cols w:space="720"/>
          <w:titlePg/>
          <w:docGrid w:linePitch="360"/>
        </w:sectPr>
      </w:pPr>
    </w:p>
    <w:p>
      <w:pPr>
        <w:keepNext/>
        <w:keepLines w:val="0"/>
        <w:widowControl/>
        <w:spacing w:before="200" w:after="100" w:line="240" w:lineRule="auto"/>
      </w:pPr>
      <w:r>
        <w:rPr>
          <w:rFonts w:ascii="Lato" w:hAnsi="Lato"/>
          <w:b/>
          <w:i w:val="0"/>
          <w:color w:val="177E89"/>
          <w:sz w:val="21"/>
        </w:rPr>
        <w:t>8</w:t>
      </w:r>
      <w:r>
        <w:rPr>
          <w:rFonts w:ascii="Lato" w:hAnsi="Lato"/>
          <w:b/>
          <w:i w:val="0"/>
          <w:color w:val="19344A"/>
          <w:sz w:val="36"/>
        </w:rPr>
        <w:t xml:space="preserve">  Comprehensive problem matrix</w:t>
      </w:r>
    </w:p>
    <w:p>
      <w:pPr>
        <w:keepNext/>
        <w:keepLines w:val="0"/>
        <w:widowControl/>
        <w:spacing w:before="0" w:after="160" w:line="259" w:lineRule="auto"/>
      </w:pPr>
      <w:r>
        <w:rPr>
          <w:rFonts w:ascii="Inter" w:hAnsi="Inter"/>
          <w:b w:val="0"/>
          <w:i/>
          <w:color w:val="5A6872"/>
          <w:sz w:val="18"/>
        </w:rPr>
        <w:t>Major engineering regimes and a proposed scientifically justifiable Carbon path. Ratings are hypotheses, not qualification criteria.</w:t>
      </w:r>
    </w:p>
    <w:tbl>
      <w:tblPr>
        <w:tblStyle w:val="TableGrid"/>
        <w:tblW w:type="auto" w:w="0"/>
        <w:jc w:val="center"/>
        <w:tblLayout w:type="fixed"/>
        <w:tblLook w:firstColumn="1" w:firstRow="1" w:lastColumn="0" w:lastRow="0" w:noHBand="0" w:noVBand="1" w:val="04A0"/>
      </w:tblPr>
      <w:tblGrid>
        <w:gridCol w:w="7373"/>
        <w:gridCol w:w="7373"/>
      </w:tblGrid>
      <w:tr>
        <w:trPr>
          <w:tblHeader w:val="true"/>
        </w:trPr>
        <w:tc>
          <w:tcPr>
            <w:tcW w:type="dxa" w:w="108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Code</w:t>
            </w:r>
          </w:p>
        </w:tc>
        <w:tc>
          <w:tcPr>
            <w:tcW w:type="dxa" w:w="13607"/>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6"/>
              </w:rPr>
              <w:t>Meaning</w:t>
            </w:r>
          </w:p>
        </w:tc>
      </w:tr>
      <w:tr>
        <w:trPr>
          <w:cantSplit/>
        </w:trPr>
        <w:tc>
          <w:tcPr>
            <w:tcW w:type="dxa" w:w="10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MMS</w:t>
            </w:r>
          </w:p>
        </w:tc>
        <w:tc>
          <w:tcPr>
            <w:tcW w:type="dxa" w:w="13607"/>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H = high code-verification value; M = useful with limits; L = weak for physical target; N = not a natural tool.</w:t>
            </w:r>
          </w:p>
        </w:tc>
      </w:tr>
      <w:tr>
        <w:trPr>
          <w:cantSplit/>
        </w:trPr>
        <w:tc>
          <w:tcPr>
            <w:tcW w:type="dxa" w:w="10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Hybrid</w:t>
            </w:r>
          </w:p>
        </w:tc>
        <w:tc>
          <w:tcPr>
            <w:tcW w:type="dxa" w:w="13607"/>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F free surrogate; W warm start; P preconditioner/coarse solve; D domain decomposition; R residual/defect correction.</w:t>
            </w:r>
          </w:p>
        </w:tc>
      </w:tr>
      <w:tr>
        <w:trPr>
          <w:cantSplit/>
        </w:trPr>
        <w:tc>
          <w:tcPr>
            <w:tcW w:type="dxa" w:w="108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Q</w:t>
            </w:r>
          </w:p>
        </w:tc>
        <w:tc>
          <w:tcPr>
            <w:tcW w:type="dxa" w:w="13607"/>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Q1 exact-rich and easiest; Q5 model-form/topology/chaos-dominated and hardest.</w:t>
            </w:r>
          </w:p>
        </w:tc>
      </w:tr>
      <w:tr>
        <w:trPr>
          <w:cantSplit/>
        </w:trPr>
        <w:tc>
          <w:tcPr>
            <w:tcW w:type="dxa" w:w="108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6"/>
              </w:rPr>
              <w:t>GTM</w:t>
            </w:r>
          </w:p>
        </w:tc>
        <w:tc>
          <w:tcPr>
            <w:tcW w:type="dxa" w:w="13607"/>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6"/>
              </w:rPr>
              <w:t>1–5 hypothesized engineering pull. A “5*” marks the thermal/CHT wedge hypothesis, not customer evidence.</w:t>
            </w:r>
          </w:p>
        </w:tc>
      </w:tr>
    </w:tbl>
    <w:p>
      <w:pPr>
        <w:spacing w:after="20"/>
      </w:pPr>
    </w:p>
    <w:p>
      <w:pPr>
        <w:pStyle w:val="Heading2"/>
        <w:keepNext/>
        <w:keepLines w:val="0"/>
        <w:widowControl/>
        <w:spacing w:before="140" w:after="80" w:line="240" w:lineRule="auto"/>
      </w:pPr>
      <w:r>
        <w:rPr>
          <w:rFonts w:ascii="Lato" w:hAnsi="Lato"/>
          <w:b/>
          <w:i w:val="0"/>
          <w:color w:val="19344A"/>
          <w:sz w:val="24"/>
        </w:rPr>
        <w:t>A. Reference-rich foundations and early commercial candidates</w:t>
      </w:r>
    </w:p>
    <w:tbl>
      <w:tblPr>
        <w:tblStyle w:val="TableGrid"/>
        <w:tblW w:type="auto" w:w="0"/>
        <w:jc w:val="center"/>
        <w:tblLayout w:type="fixed"/>
        <w:tblLook w:firstColumn="1" w:firstRow="1" w:lastColumn="0" w:lastRow="0" w:noHBand="0" w:noVBand="1" w:val="04A0"/>
      </w:tblPr>
      <w:tblGrid>
        <w:gridCol w:w="2949"/>
        <w:gridCol w:w="2949"/>
        <w:gridCol w:w="2949"/>
        <w:gridCol w:w="2949"/>
        <w:gridCol w:w="2949"/>
      </w:tblGrid>
      <w:tr>
        <w:trPr>
          <w:tblHeader w:val="true"/>
        </w:trPr>
        <w:tc>
          <w:tcPr>
            <w:tcW w:type="dxa" w:w="338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Physics regime and engineering jobs</w:t>
            </w:r>
          </w:p>
        </w:tc>
        <w:tc>
          <w:tcPr>
            <w:tcW w:type="dxa" w:w="324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Strongest plausible reference path</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MMS and hybrid role</w:t>
            </w:r>
          </w:p>
        </w:tc>
        <w:tc>
          <w:tcPr>
            <w:tcW w:type="dxa" w:w="1655"/>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Research ratings</w:t>
            </w:r>
          </w:p>
        </w:tc>
        <w:tc>
          <w:tcPr>
            <w:tcW w:type="dxa" w:w="432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Proposed Carbon path and dominant scientific risk</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Poisson / Laplace</w:t>
              <w:br/>
              <w:t>Electrostatic potential, capacitance, steady conduction, pressure potential, diffusion limits.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exact islands: Green functions, Fourier/eigenfunction series, boundary integrals; high-order FEM witness. [E22]</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F/P/W. Excellent for learned coarse solves, preconditioners and full surrogates.</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Q1 | Cost 1 | Hidden 5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Qualify simple geometry first, then variable coefficients and irregular boundaries. Risk: treating support as population or transferring exact-domain authority to arbitrary geometry.</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Linear transient diffusion / heat conduction</w:t>
              <w:br/>
              <w:t>Electronics cooling, battery-pack conduction, thermal soak, curing, quench and cooldown studies.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heat kernels, separation of variables and transform solutions; converged FEM/FVM witness.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F/R/W. Natural bridge to nonlinear thermal and CHT.</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Q1 | Cost 1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Pair analytic transient cases with randomized MMS and independently converged physical cases. Risk: BC, interface and material-law shifts.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Constant-coefficient linear advection</w:t>
              <w:br/>
              <w:t>Scalar transport, conveyor/process transport, simplified contaminant tracking.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characteristics and exact translated profiles.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F/R. Strong verification task; weaker direct product wedge.</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Q1 | Cost 1 | Hidden 5 | GTM 3</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JUDGE / METHOD TEST. Useful for phase and numerical-diffusion measurements. Risk: easy cases can conceal high-Péclet failure.</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Linear wave and 1D acoustics</w:t>
              <w:br/>
              <w:t>Duct acoustics, ultrasound propagation, sonar primitives, non-destructive testing.</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characteristic decomposition, d’Alembert and modal solutions.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F/W/R. Good test of phase-aware metrics and long rollout.</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Q1 | Cost 1 | Hidden 5 | GTM 4</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 PILOT. Qualify phase, dispersion and energy diagnostics separately. Risk: L2 error can misrepresent small phase shifts.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1D viscous Burgers</w:t>
              <w:br/>
              <w:t>Scientific judge for nonlinear advection, steepening and dissipation; reduced traffic/flow analogues.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periodic Cole–Hopf within a bounded smooth-IC, positive-viscosity envelope; independent conservative witness. [C1,C4]</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code paths; full reference should use Cole–Hopf physical cases. Hybrid F/R.</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1 | Hidden 5 | GTM 2</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PROVE THE JUDGE. Fixed viscosity and explicit IC population first. Risk: transform conditioning, quadrature and reference error near steep gradients.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Convex Hamilton–Jacobi / eikonal</w:t>
              <w:br/>
              <w:t>Travel-time tomography, wavefront propagation, optimal paths, arrival-time fields.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Hopf–Lax / characteristics for qualified convex classes; fast-marching witness.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M–H. Hybrid F/W; test viscosity-solution semantics.</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4</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PILOT. Begin with convex Hamiltonians and simple geometry. Risk: non-smooth viscosity solutions and non-convex extensions.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Nonlinear thermal conduction with k(T)</w:t>
              <w:br/>
              <w:t>High-temperature components, refractory systems, semiconductor self-heating, thermal protection.</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Kirchhoff-transform islands and semi-analytic solutions; converged nonlinear FEM witness. [E27]</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W/R/F. MMS can exercise nonlinear source and constitutive terms.</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THERMAL BRIDGE. Qualify positive, bounded material laws and inverse-transform conditioning. Risk: radiation, phase change and mixed BCs break the simple transform.</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Canonical electrostatics / magnetostatics</w:t>
              <w:br/>
              <w:t>Motors, transformers, HV insulation, MEMS, sensor and actuator design.</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image methods, Green functions, modal solutions and BEM; independent FEM witness.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P/D/W/F.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 PILOT. Strong many-query inverse-design use case. Risk: discontinuous materials, corners and open-boundary treatment.</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Linear small-strain elasticity</w:t>
              <w:br/>
              <w:t>Stress, deflection, tooling, fixtures, frames, medical-device components.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canonical Kirsch, Kelvin, Eshelby, beam/plate solutions; converged independent FEM. [E5]</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P/D/W/F. Good early structural vertical.</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 PILOT. Separate displacement, strain, stress and equilibrium evidence. Risk: locking, singular corners and boundary representation.</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Canonical Maxwell / Lorenz–Mie</w:t>
              <w:br/>
              <w:t>Particle scattering, optical sensing, canonical radar cross section, resonators and calibration targets.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exact Mie series for spheres/cylinders; plane waves and cavity modes; numerical Maxwell witness. [E30]</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P/W/F. Strong reference island, narrow geometry.</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4</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JUDGE + VERTICAL SEED. Use canonical scatterers before arbitrary photonics. Risk: truncation/roundoff near resonances and false authority transfer to irregular shapes.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Stokes creeping flow</w:t>
              <w:br/>
              <w:t>Microfluidics, low-Re particle motion, filtration and lab-on-chip devices.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Stokeslets and boundary-integral solutions; FEM/FVM witness.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D/P/F.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4 | GTM 4</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PILOT. Good for geometry and boundary-integral operator learning. Risk: singular and near-singular quadrature.</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Single-phase Darcy / groundwater flow</w:t>
              <w:br/>
              <w:t>Reservoir pressure, aquifers, filtration, CO2 plume pressure and subsurface screening.</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A/B radial, layered and similarity solutions; mixed FEM/FV witnesses. [E15,E16]</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P/D/W/F. Demonstrated HINTS geometry-transfer setting.</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 PILOT. Start single-phase, bounded permeability contrast. Risk: geological population validity and unresolved heterogeneity.</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Linear Fokker–Planck / Ornstein–Uhlenbeck</w:t>
              <w:br/>
              <w:t>Uncertainty propagation, particle dynamics, simplified stochastic control.</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exact Gaussian evolution and moment equations.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F/R.</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4 | GTM 3</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RESEARCH / ANALYTICS. Useful for probabilistic operator qualification. Risk: positivity and long-tail measurements.</w:t>
            </w:r>
          </w:p>
        </w:tc>
      </w:tr>
    </w:tbl>
    <w:p>
      <w:pPr>
        <w:spacing w:after="20"/>
      </w:pPr>
    </w:p>
    <w:p>
      <w:pPr>
        <w:pStyle w:val="Heading2"/>
        <w:keepNext/>
        <w:keepLines w:val="0"/>
        <w:widowControl/>
        <w:spacing w:before="140" w:after="80" w:line="240" w:lineRule="auto"/>
      </w:pPr>
      <w:r>
        <w:rPr>
          <w:rFonts w:ascii="Lato" w:hAnsi="Lato"/>
          <w:b/>
          <w:i w:val="0"/>
          <w:color w:val="19344A"/>
          <w:sz w:val="24"/>
        </w:rPr>
        <w:t>B. Exact anchors plus manageable numerical qualification</w:t>
      </w:r>
    </w:p>
    <w:tbl>
      <w:tblPr>
        <w:tblStyle w:val="TableGrid"/>
        <w:tblW w:type="auto" w:w="0"/>
        <w:jc w:val="center"/>
        <w:tblLayout w:type="fixed"/>
        <w:tblLook w:firstColumn="1" w:firstRow="1" w:lastColumn="0" w:lastRow="0" w:noHBand="0" w:noVBand="1" w:val="04A0"/>
      </w:tblPr>
      <w:tblGrid>
        <w:gridCol w:w="2949"/>
        <w:gridCol w:w="2949"/>
        <w:gridCol w:w="2949"/>
        <w:gridCol w:w="2949"/>
        <w:gridCol w:w="2949"/>
      </w:tblGrid>
      <w:tr>
        <w:trPr>
          <w:tblHeader w:val="true"/>
        </w:trPr>
        <w:tc>
          <w:tcPr>
            <w:tcW w:type="dxa" w:w="338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Physics regime and engineering jobs</w:t>
            </w:r>
          </w:p>
        </w:tc>
        <w:tc>
          <w:tcPr>
            <w:tcW w:type="dxa" w:w="324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Strongest plausible reference path</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MMS and hybrid role</w:t>
            </w:r>
          </w:p>
        </w:tc>
        <w:tc>
          <w:tcPr>
            <w:tcW w:type="dxa" w:w="1655"/>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Research ratings</w:t>
            </w:r>
          </w:p>
        </w:tc>
        <w:tc>
          <w:tcPr>
            <w:tcW w:type="dxa" w:w="432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Proposed Carbon path and dominant scientific risk</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Variable-coefficient elliptic / anisotropic conduction</w:t>
              <w:br/>
              <w:t>Composite thermal parts, heterogeneous media, anisotropic insulation and materials.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high-order FEM/BEM, a posteriori estimators, MMS and cross-code witness.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P/D/W/F.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Q2 | Cost 2 | Hidden 5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BUILD NOW. Qualify coefficient regularity and contrast strata. Risk: induced MMS forcing may miss customer loading populations.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High-Péclet advection–diffusion</w:t>
              <w:br/>
              <w:t>Heat/mass exchangers, contaminant plumes, species transport and coating processes.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layer-resolving adaptive DG/DPG/FV plus MMS and limiting cases.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smooth layers, M near discontinuities. Hybrid P/W/R.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Require boundary-layer strata and monotonicity/positivity evidence. Risk: under-resolved layers and numerical stabilization bias.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Helmholtz / general linear acoustic scattering</w:t>
              <w:br/>
              <w:t>Mufflers, room acoustics, sonar, aeroacoustic components and vibration isolation.</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modal/Mie anchors plus FEM/BEM with PML and frequency refinement.</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P/D/W/F; learned coarse spaces may fail as wave number grows. [E17]</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5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PILOT. Stratify by nondimensional wave number and geometry. Risk: pollution error, resonance and fixed-basis coarse-space failure.</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Linear elastodynamics / vibration</w:t>
              <w:br/>
              <w:t>NVH, modal analysis, seismic response, ultrasonic NDT and rotating equipment.</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modal solutions, beam/shell anchors and converged time/frequency-domain FEM.</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PILOT. Strong many-query design value. Risk: phase, damping-model uncertainty and modal crossings.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Porous-medium nonlinear diffusion</w:t>
              <w:br/>
              <w:t>Infiltration, gas transport, drying, filtration fronts and some reservoir models.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Barenblatt-type exact weak solutions as anchors; positivity-preserving numerical primary.</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Hybrid R/W/F.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2 | Hidden 5 | GTM 4</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EXPANSION. Use compact-support and moving-front measurements. Risk: front-location sensitivity and degeneracy.</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Stefan phase change</w:t>
              <w:br/>
              <w:t>Freezing, casting, thermal storage, additive-manufacturing front evolution.</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1D similarity solutions; front-tracking and enthalpy witnesses.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Hybrid R/W/F.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THERMAL EXPANSION. Begin 1D/axisymmetric with known phases. Risk: moving interface, latent heat, contact and convection coupling.</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Reaction–diffusion and travelling fronts</w:t>
              <w:br/>
              <w:t>Catalysis, corrosion, curing, biological transport and combustion precursors.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selected travelling waves; B converged numerical primary with MMS.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smooth fronts. Hybrid R/W/F.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2 | Hidden 5 | GTM 4</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EXPANSION. Separate kinetics from transport. Risk: stiff reactions and uncertain kinetic models.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Scalar conservation laws / Buckley–Leverett</w:t>
              <w:br/>
              <w:t>Immiscible displacement, flood-front screening, traffic/throughput analogues.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exact entropy/Riemann solutions in 1D; conservative FV witness. [E23]</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L–M because smooth manufacture avoids shocks. Hybrid R/F.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2 | Hidden 5 | GTM 4</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SHOCK PROGRAM. Grade shock location, states, entropy and conservation. Risk: ordinary field norms blur discontinuity error.</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1D shallow-water / dam-break problems</w:t>
              <w:br/>
              <w:t>Dam-break screening, channel transients, flood-wave primitives.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exact Riemann and selected similarity solutions; well-balanced FV witness. [E23]</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for source-term/balance verification, L for wet/dry shocks. Hybrid R/F.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2 | Hidden 5 | GTM 4</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SHOCK PROGRAM. Add positivity and wet/dry gates only after qualification. Risk: bathymetry and dry-state extensions.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1D compressible Euler / shock tubes</w:t>
              <w:br/>
              <w:t>Nozzle transients, blast primitives, gas-network and propulsion verification.</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exact Riemann solvers; conservative high-resolution witness. [E23]</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for smooth implementation, L for physical shocks. Hybrid R/W/F.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2 | Hidden 5 | GTM 4</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SHOCK PROGRAM. Qualify equation of state and entropy semantics. Risk: multidimensional transfer and shock interactions.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Canonical laminar incompressible Navier–Stokes</w:t>
              <w:br/>
              <w:t>Microchannels, duct flow, simple heat exchangers, process components.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anchors such as Poiseuille/Kovasznay/Taylor–Green; B converged CFD. [E4]</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P/W/R/F.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5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Limit Reynolds number and geometry class. Risk: separation/onset regimes and hidden pressure/BC errors.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Canonical laminar compressible flow</w:t>
              <w:br/>
              <w:t>Nozzles, low-to-moderate Mach ducts and thermal-flow components.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smooth analytic/MMS anchors; B converged compressible CFD.</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W/P/R/F.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5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Separate smooth and shocked envelopes. Risk: flux, thermodynamics and shock capturing.</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Canonical incompressible MHD</w:t>
              <w:br/>
              <w:t>Liquid-metal cooling, electromagnetic pumps, metallurgy and fusion subcomponents.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 Hartmann/Hunt/Shercliff anchors; B independent MHD solvers. [E32]</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P/W/R.</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4 | GTM 4</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 PILOT. Good coupled-equation benchmark. Risk: boundary conductivity, magnetic Reynolds regime and solver correlation.</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1D slab radiative / neutron transport</w:t>
              <w:br/>
              <w:t>Shielding, radiotherapy primitives, furnace radiation and reactor calculations.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discrete ordinates / deterministic primary with independent Monte Carlo witness.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 PILOT. Distinct deterministic/statistical witnesses are valuable. Risk: high-dimensional angle/energy and Monte Carlo noise.</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Allen–Cahn / Cahn–Hilliard phase field</w:t>
              <w:br/>
              <w:t>Grain growth, solidification, battery microstructure and materials processing.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MMS, PFHub benchmarks and sharp-interface/energy checks. [E20]</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code verification. Hybrid R/F.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4 | GTM 4</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RESEARCH / MATERIALS PILOT. Distinguish equation verification from physical parameter validation. Risk: interface thickness and model-form choices.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Canonical laminar conjugate heat transfer</w:t>
              <w:br/>
              <w:t>Cold plates, simple heat exchangers, duct-wall coupling and electronics channels.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A/B extended-Graetz and canonical benchmarks; independent fluid-solid solvers. [E28,E29]</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coupled implementation. Hybrid W/P/F with solver fallback.</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THERMAL WEDGE HYPOTHESIS. Customer evidence and ValidationPack still required. Risk: interface flux, geometry and flow-regime transfer.</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Thermoelasticity and simple heat–mass coupling</w:t>
              <w:br/>
              <w:t>Thermal stress, electronic packaging, drying, porous heat transport.</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component analytic anchors plus coupled MMS and independent multiphysics solver.</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D/W/R.</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Q3 | Cost 3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EXPANSION. Treat assembled-system qualification separately from component qualification. Risk: coupling and parameter uncertainty.</w:t>
            </w:r>
          </w:p>
        </w:tc>
      </w:tr>
    </w:tbl>
    <w:p>
      <w:pPr>
        <w:spacing w:after="20"/>
      </w:pPr>
    </w:p>
    <w:p>
      <w:pPr>
        <w:pStyle w:val="Heading2"/>
        <w:keepNext/>
        <w:keepLines w:val="0"/>
        <w:widowControl/>
        <w:spacing w:before="140" w:after="80" w:line="240" w:lineRule="auto"/>
      </w:pPr>
      <w:r>
        <w:rPr>
          <w:rFonts w:ascii="Lato" w:hAnsi="Lato"/>
          <w:b/>
          <w:i w:val="0"/>
          <w:color w:val="19344A"/>
          <w:sz w:val="24"/>
        </w:rPr>
        <w:t>C. General engineering regimes requiring stronger numerical and physical evidence</w:t>
      </w:r>
    </w:p>
    <w:tbl>
      <w:tblPr>
        <w:tblStyle w:val="TableGrid"/>
        <w:tblW w:type="auto" w:w="0"/>
        <w:jc w:val="center"/>
        <w:tblLayout w:type="fixed"/>
        <w:tblLook w:firstColumn="1" w:firstRow="1" w:lastColumn="0" w:lastRow="0" w:noHBand="0" w:noVBand="1" w:val="04A0"/>
      </w:tblPr>
      <w:tblGrid>
        <w:gridCol w:w="2949"/>
        <w:gridCol w:w="2949"/>
        <w:gridCol w:w="2949"/>
        <w:gridCol w:w="2949"/>
        <w:gridCol w:w="2949"/>
      </w:tblGrid>
      <w:tr>
        <w:trPr>
          <w:tblHeader w:val="true"/>
        </w:trPr>
        <w:tc>
          <w:tcPr>
            <w:tcW w:type="dxa" w:w="338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Physics regime and engineering jobs</w:t>
            </w:r>
          </w:p>
        </w:tc>
        <w:tc>
          <w:tcPr>
            <w:tcW w:type="dxa" w:w="324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Strongest plausible reference path</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MMS and hybrid role</w:t>
            </w:r>
          </w:p>
        </w:tc>
        <w:tc>
          <w:tcPr>
            <w:tcW w:type="dxa" w:w="1655"/>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Research ratings</w:t>
            </w:r>
          </w:p>
        </w:tc>
        <w:tc>
          <w:tcPr>
            <w:tcW w:type="dxa" w:w="432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Proposed Carbon path and dominant scientific risk</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General laminar CFD in irregular geometry</w:t>
              <w:br/>
              <w:t>Valves, pumps, manifolds, process equipment, HVAC components and microfluidic devices.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B/C high-order or mesh-converged CFD with different discretization witness and selected experiments.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code; M for geometry adapters. Hybrid W/P/D/F.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Prefer solver acceleration first. Risk: population realism, mesh/geometry and flow transition.</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General compressible / hypersonic CFD</w:t>
              <w:br/>
              <w:t>Turbomachinery, propulsion, supersonic intakes, re-entry and blast.</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canonical exact anchors plus cross-code grid-converged CFD and experiments.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smooth code paths; L for shocks/chemistry. Hybrid W/P/R.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5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Begin smooth or fixed-shock-topology sub-envelopes. Risk: shocks, high-temperature chemistry and boundary layers.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General Maxwell / RF / photonics</w:t>
              <w:br/>
              <w:t>Antennas, waveguides, filters, photonic devices, EMC and EUV lithography.</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B/C Mie/modal anchors plus independent FEM/FDTD/BEM/PSFD convergence. [E30,E38]</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P/W/D; warm-start PSFD is an emerging product pattern.</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Strong many-query design value. Risk: high frequency, resonances, open boundaries and geometry detail.</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2D shallow water with bathymetry and wet/dry fronts</w:t>
              <w:br/>
              <w:t>Urban flood, dam-break, storm surge and coastal inundation.</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well-balanced conservative solvers, exact subproblems and field/lab benchmarks.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for source balance. Hybrid R/F with strict fallback.</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3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 PILOT. Require stratum gates for dry states and topography. Risk: censoring difficult terrain and uncertain roughness.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Free-surface flow without severe breakup</w:t>
              <w:br/>
              <w:t>Tank sloshing, marine hydrodynamics, casting and filling.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linear-wave/sloshing anchors plus independent VOF/level-set/front-tracking and experiments.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Hybrid W/R/F.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 PILOT. Limit topology and interface class. Risk: mass loss, contact lines and interface representation.</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Customer-geometry laminar CHT</w:t>
              <w:br/>
              <w:t>Data-center cold plates, EV motors/inverters, avionics, heat exchangers and reactors.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converged fluid-solid primary, independent coupling path and customer thermal measurements.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implementation. Hybrid W/P/D/F; qualified fallback required.</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DISCOVERY + VALIDATIONPACK. Do not infer demand or product fitness from canonical success. Risk: workload population and sensor uncertainty.</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Nonlinear hyperelasticity</w:t>
              <w:br/>
              <w:t>Seals, elastomers, soft robotics, tires and medical-device components.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exact universal-deformation anchors; C converged FEM plus material tests. [E5]</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W/D/F.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 PILOT. Start monotone, small-to-moderate deformation classes. Risk: constitutive identifiability and multiple solutions.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Plasticity / viscoelasticity</w:t>
              <w:br/>
              <w:t>Metal forming, creep, crash, polymer processing and fatigue precursors.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simple yield/creep anchors, cross-formulation FEM and coupon tests.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M–H for code; physical validation dominates. Hybrid W/R.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Predict bounded engineering outputs before latent internal fields. Risk: history, path dependence and calibration.</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Contact and buckling</w:t>
              <w:br/>
              <w:t>Bearings, joints, press fits, structural stability and crash components.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patch/limit cases, independent contact formulations and experiments.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Hybrid W/D.</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Start fixed contact topology and pre-buckling. Risk: inequality constraints, bifurcation and non-unique paths.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Composite materials / homogenization</w:t>
              <w:br/>
              <w:t>Aerospace laminates, digital materials, metamaterials and additive lattices.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 unit-cell analytic bounds plus DNS/FEM homogenization and experiments.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D/P/F.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Strong local-operator/domain-decomposition fit. Risk: microstructure population and scale separation.</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Poroelasticity / geomechanics / CCS</w:t>
              <w:br/>
              <w:t>Subsidence, reservoir compaction, carbon storage, hydraulic stimulation.</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analytic consolidation anchors, coupled MMS, independent geomechanics/flow solvers and field data.</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P/D/W.</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Begin linear Biot and single-phase. Risk: geological uncertainty, constitutive laws and sparse validation.</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Semiconductor drift–diffusion</w:t>
              <w:br/>
              <w:t>Device design, power electronics, photodetectors and process simulation.</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B/C equilibrium/1D anchors plus independent semiconductor solvers and measurement data.</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P/W/F.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Many-query inverse design is attractive. Risk: stiffness, quantum corrections and process variability.</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Seismic / acoustic geophysics</w:t>
              <w:br/>
              <w:t>Subsurface imaging, exploration, monitoring and earthquake engineering.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B/C analytic wavefields plus high-order cross-code solutions and field data.</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W/P/D/F.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5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Solver accelerator or reduced survey class first. Risk: scale, inverse ill-posedness and unknown earth model.</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Ultrasound and photoacoustics</w:t>
              <w:br/>
              <w:t>Medical imaging, therapy planning and industrial NDT.</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B/C analytic wave/acoustic anchors plus calibrated phantom experiments.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Hybrid W/P/F.</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CUSTOMER PILOT. Context-of-use and risk-informed credibility matter. [E39] Risk: tissue/material heterogeneity and measurement chain.</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Fuel cells / electrolyzers</w:t>
              <w:br/>
              <w:t>Stack design, flow distribution, thermal/water management and degradation screening.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 component anchors plus coupled electrochemical transport solver and experiments.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components; M for full coupling. Hybrid W/P/D.</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Start a bounded steady operating envelope. Risk: multiphase water, kinetics and aging.</w:t>
            </w:r>
          </w:p>
        </w:tc>
      </w:tr>
    </w:tbl>
    <w:p>
      <w:pPr>
        <w:spacing w:after="20"/>
      </w:pPr>
    </w:p>
    <w:p>
      <w:pPr>
        <w:pStyle w:val="Heading2"/>
        <w:keepNext/>
        <w:keepLines w:val="0"/>
        <w:widowControl/>
        <w:spacing w:before="140" w:after="80" w:line="240" w:lineRule="auto"/>
      </w:pPr>
      <w:r>
        <w:rPr>
          <w:rFonts w:ascii="Lato" w:hAnsi="Lato"/>
          <w:b/>
          <w:i w:val="0"/>
          <w:color w:val="19344A"/>
          <w:sz w:val="24"/>
        </w:rPr>
        <w:t>D. Hard regimes where model form, topology, chaos or experiment dominates</w:t>
      </w:r>
    </w:p>
    <w:tbl>
      <w:tblPr>
        <w:tblStyle w:val="TableGrid"/>
        <w:tblW w:type="auto" w:w="0"/>
        <w:jc w:val="center"/>
        <w:tblLayout w:type="fixed"/>
        <w:tblLook w:firstColumn="1" w:firstRow="1" w:lastColumn="0" w:lastRow="0" w:noHBand="0" w:noVBand="1" w:val="04A0"/>
      </w:tblPr>
      <w:tblGrid>
        <w:gridCol w:w="2949"/>
        <w:gridCol w:w="2949"/>
        <w:gridCol w:w="2949"/>
        <w:gridCol w:w="2949"/>
        <w:gridCol w:w="2949"/>
      </w:tblGrid>
      <w:tr>
        <w:trPr>
          <w:tblHeader w:val="true"/>
        </w:trPr>
        <w:tc>
          <w:tcPr>
            <w:tcW w:type="dxa" w:w="338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Physics regime and engineering jobs</w:t>
            </w:r>
          </w:p>
        </w:tc>
        <w:tc>
          <w:tcPr>
            <w:tcW w:type="dxa" w:w="324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Strongest plausible reference path</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MMS and hybrid role</w:t>
            </w:r>
          </w:p>
        </w:tc>
        <w:tc>
          <w:tcPr>
            <w:tcW w:type="dxa" w:w="1655"/>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Research ratings</w:t>
            </w:r>
          </w:p>
        </w:tc>
        <w:tc>
          <w:tcPr>
            <w:tcW w:type="dxa" w:w="432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3"/>
              </w:rPr>
              <w:t>Proposed Carbon path and dominant scientific risk</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Fracture and crack propagation</w:t>
              <w:br/>
              <w:t>Life prediction, damage tolerance, composites, pipelines and structural integrity.</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C/D LEFM anchors, cross-formulation cohesive/XFEM/phase-field simulations and experiments.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for code only. Hybrid W/D/R.</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Qualify initiation load, energy release and bounded path classes before full fields. Risk: mesh/path sensitivity and stochastic defects.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Fluid–structure interaction</w:t>
              <w:br/>
              <w:t>Valves, aeroelasticity, flexible structures, cardiovascular devices and marine systems.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C/D coupled MMS, monolithic/partitioned witnesses and physical benchmarks. [E31]</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implementation. Hybrid D/W/R.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Mandatory interface work/traction/kinematic checks require qualification. Risk: component evidence does not compose.</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RANS turbulence</w:t>
              <w:br/>
              <w:t>Industrial aerodynamics, turbomachinery, HVAC, vehicle drag and process equipment.</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code verification + NASA TMR/DNS/experiment anchors under an explicit closure model. [E21,E33]</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equations; L for closure validity. Hybrid W/P/R/F.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SELL ACCELERATION FIRST. Grade closure-specific engineering quantities. Risk: model-form error cannot be removed by mesh convergence.</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LES / chaotic turbulence</w:t>
              <w:br/>
              <w:t>Combustors, wakes, atmospheric flows, mixing and high-fidelity design.</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DNS islands, experiments and statistical reference policies. [E11,E21]</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code; L for long-term statistics. Hybrid W/R; end-to-end PINO is research-relevant.</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Score stable statistics, spectra and balances, not deterministic late-time fields. Risk: chaotic decorrelation and subgrid model form.</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Turbulent conjugate heat transfer</w:t>
              <w:br/>
              <w:t>Gas turbines, high-power electronics, heat exchangers, reactors and data centers.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canonical DNS/experiments plus independent coupled solvers.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code; L for turbulence/heat-transfer validity. Hybrid W/P/D.</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LONGER-TERM THERMAL. Requires customer evidence, turbulence-model policy and Product Battery. Risk: compound closure and interface uncertainty.</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Combustion / reacting flow</w:t>
              <w:br/>
              <w:t>Gas turbines, engines, furnaces, rockets, safety and emissions.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zero-D chemistry and 1D flame anchors, MMS, DNS and experiments. [E25]</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implementation; L for chemistry/closure validity. Hybrid W/R.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Separate chemistry, transport and turbulence ladders. Risk: mechanism/model uncertainty and stiffness.</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Multiphase topology change</w:t>
              <w:br/>
              <w:t>Oil–gas separation, sprays, coating, casting, droplets and marine systems.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capillary/interface anchors, cross-method simulations and experiments.</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Hybrid W/R with strict escalation.</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Begin fixed topology or simple transitions. Risk: breakup/coalescence, contact lines and non-unique microphysics.</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Boiling and cavitation</w:t>
              <w:br/>
              <w:t>Nuclear cooling, pumps, propellers, electronics and cryogenic systems.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Stefan/bubble anchors, interface-resolved studies, correlations and experiments.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for components; L for nucleation/closure. Hybrid W/R.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2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RESEARCH / PARTNER-FUNDED. Avoid universal field truth claims. Risk: nucleation, phase-change closure and sparse high-quality data.</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Full MHD / plasma turbulence</w:t>
              <w:br/>
              <w:t>Fusion, space weather, astrophysics and liquid-metal systems.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linear/canonical anchors plus independent continuum/particle solvers and experiments where available.</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equations; L for turbulence/kinetics. Hybrid W/P/R.</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3</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RESEARCH. Use Hartmann and wave/reconnection ladders before turbulence. Risk: scale separation and closure.</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Kinetic Boltzmann / Vlasov systems</w:t>
              <w:br/>
              <w:t>Rarefied gas, plasma, semiconductor and radiation transport.</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C/D equilibria, free streaming and linear damping anchors; particle/continuum witnesses.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M–H. Hybrid P/W/R.</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4</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Start reduced dimension and collision models. Risk: phase-space resolution and statistical noise.</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Reactive porous media / geochemistry</w:t>
              <w:br/>
              <w:t>Reservoir chemistry, carbon storage, hydrogen, groundwater and mineral processing.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Darcy/transport/reaction anchors plus independent simulators and laboratory/field evidence. [E24]</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components; M for coupling. Hybrid P/D/W.</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Build component ladder before joint population. Risk: databases, constitutive laws and field uncertainty.</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Battery electro-chemo-thermo-mechanics</w:t>
              <w:br/>
              <w:t>Cell design, fast charging, thermal management, degradation and safety.</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reduced-model anchors, high-fidelity numerical hierarchy and cell experiments. [E26]</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components; M for full system. Hybrid W/P/D.</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Qualify terminal voltage/temperature first. Risk: parameter identifiability, aging history and cell variation.</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Nuclear thermal hydraulics</w:t>
              <w:br/>
              <w:t>Reactor safety, core cooling, transients and accident analysis.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code-verification suite, separate-effects tests, integral experiments and cross-code evidence.</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code; L for closure/accident validity. Hybrid W/P with mandatory fallback.</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2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HIGH-CONSEQUENCE PARTNER ONLY. Context-of-use and regulatory authority remain external. Risk: closures, rare events and evidence burden.</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Additive-manufacturing melt pool</w:t>
              <w:br/>
              <w:t>Laser parameter optimization, defect prediction, residual stress and microstructure.</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conduction/Stefan anchors plus multiphysics simulation and in-situ experiments.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components; M for full process. Hybrid W/R/D.</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Begin thermal history and melt-pool geometry. Risk: free surface, phase change, powder and uncertain absorptivity.</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Weather and climate dynamics</w:t>
              <w:br/>
              <w:t>Forecasting, ensembles, extreme-event screening and climate emulation.</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reanalysis/observations, NWP ensembles and conservation/statistical evidence.</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L for full physical validity. Hybrid F/R/assimilation.</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NOT AN EARLY CARBON WEDGE. Strong external ecosystems already exist. Risk: chaotic statistics, data assimilation and distribution shift.</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Patient-specific hemodynamics</w:t>
              <w:br/>
              <w:t>Implant design, aneurysm/stent assessment and surgical planning.</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CFD/FSI verification, phantom/in-vivo evidence and context-of-use qualification. [E39]</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H for solver; L for patient validity. Hybrid W/F with escalation.</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2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HIGH-CONSEQUENCE PARTNER ONLY. Risk: geometry, BC inference, physiology and regulatory evidence.</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Granular / DEM systems</w:t>
              <w:br/>
              <w:t>Mining, pharmaceutical mixing, hopper flow and powder-bed processing.</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contact-law verification, canonical experiments and statistical ensemble evidence.</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L. Hybrid learned closure or surrogate with experiment fallback.</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3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PARTNER-FUNDED. Target aggregate quantities. Risk: contact/friction calibration and stochastic packing.</w:t>
            </w:r>
          </w:p>
        </w:tc>
      </w:tr>
      <w:tr>
        <w:trPr>
          <w:cantSplit/>
        </w:trPr>
        <w:tc>
          <w:tcPr>
            <w:tcW w:type="dxa" w:w="338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Quantum many-body / electronic structure</w:t>
              <w:br/>
              <w:t>Materials, catalysis, molecular design and electronic properties.</w:t>
            </w:r>
          </w:p>
        </w:tc>
        <w:tc>
          <w:tcPr>
            <w:tcW w:type="dxa" w:w="324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D exact small systems, high-level quantum chemistry/QMC and experiments.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N. Hybrid learned functionals/preconditioners with high-level anchors.</w:t>
            </w:r>
          </w:p>
        </w:tc>
        <w:tc>
          <w:tcPr>
            <w:tcW w:type="dxa" w:w="1655"/>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Q5 | Cost 5 | Hidden 2 | GTM 5</w:t>
            </w:r>
          </w:p>
        </w:tc>
        <w:tc>
          <w:tcPr>
            <w:tcW w:type="dxa" w:w="432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OUTSIDE FIRST PDE PORTFOLIO. Risk: approximation hierarchy and exponential complexity.</w:t>
            </w:r>
          </w:p>
        </w:tc>
      </w:tr>
      <w:tr>
        <w:trPr>
          <w:cantSplit/>
        </w:trPr>
        <w:tc>
          <w:tcPr>
            <w:tcW w:type="dxa" w:w="338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3"/>
              </w:rPr>
              <w:t>Power systems and circuit DAEs</w:t>
              <w:br/>
              <w:t>Grid operation, inverter control, transient stability and power electronics.</w:t>
            </w:r>
          </w:p>
        </w:tc>
        <w:tc>
          <w:tcPr>
            <w:tcW w:type="dxa" w:w="324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B/C analytic small networks plus EMT/phasor cross-simulation and hardware data.</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MMS M. Hybrid W/R/F.</w:t>
            </w:r>
          </w:p>
        </w:tc>
        <w:tc>
          <w:tcPr>
            <w:tcW w:type="dxa" w:w="1655"/>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Q4 | Cost 4 | Hidden 4 | GTM 5</w:t>
            </w:r>
          </w:p>
        </w:tc>
        <w:tc>
          <w:tcPr>
            <w:tcW w:type="dxa" w:w="432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3"/>
              </w:rPr>
              <w:t>ADJACENT FUTURE DOMAIN. Requires a DAE-specific Challenge contract rather than borrowing PDE semantics.</w:t>
            </w:r>
          </w:p>
        </w:tc>
      </w:tr>
    </w:tbl>
    <w:p>
      <w:pPr>
        <w:spacing w:after="20"/>
      </w:pPr>
    </w:p>
    <w:p>
      <w:pPr>
        <w:sectPr>
          <w:pgSz w:w="15840" w:h="12240" w:orient="landscape"/>
          <w:pgMar w:top="792" w:right="547" w:bottom="792" w:left="547" w:header="720" w:footer="720" w:gutter="0"/>
          <w:cols w:space="720"/>
          <w:docGrid w:linePitch="360"/>
        </w:sectPr>
      </w:pPr>
    </w:p>
    <w:p>
      <w:pPr>
        <w:keepNext/>
        <w:keepLines w:val="0"/>
        <w:widowControl/>
        <w:spacing w:before="200" w:after="100" w:line="240" w:lineRule="auto"/>
      </w:pPr>
      <w:r>
        <w:rPr>
          <w:rFonts w:ascii="Lato" w:hAnsi="Lato"/>
          <w:b/>
          <w:i w:val="0"/>
          <w:color w:val="177E89"/>
          <w:sz w:val="21"/>
        </w:rPr>
        <w:t>9</w:t>
      </w:r>
      <w:r>
        <w:rPr>
          <w:rFonts w:ascii="Lato" w:hAnsi="Lato"/>
          <w:b/>
          <w:i w:val="0"/>
          <w:color w:val="19344A"/>
          <w:sz w:val="36"/>
        </w:rPr>
        <w:t xml:space="preserve">  Carbon execution requirements</w:t>
      </w:r>
    </w:p>
    <w:p>
      <w:pPr>
        <w:keepNext/>
        <w:keepLines w:val="0"/>
        <w:widowControl/>
        <w:spacing w:before="0" w:after="160" w:line="259" w:lineRule="auto"/>
      </w:pPr>
      <w:r>
        <w:rPr>
          <w:rFonts w:ascii="Inter" w:hAnsi="Inter"/>
          <w:b w:val="0"/>
          <w:i/>
          <w:color w:val="5A6872"/>
          <w:sz w:val="18"/>
        </w:rPr>
        <w:t>How to turn a matrix row into a scientifically defensible Challenge and product path.</w:t>
      </w:r>
    </w:p>
    <w:p>
      <w:pPr>
        <w:pStyle w:val="Heading2"/>
        <w:keepNext/>
        <w:keepLines w:val="0"/>
        <w:widowControl/>
        <w:spacing w:before="140" w:after="80" w:line="240" w:lineRule="auto"/>
      </w:pPr>
      <w:r>
        <w:rPr>
          <w:rFonts w:ascii="Lato" w:hAnsi="Lato"/>
          <w:b/>
          <w:i w:val="0"/>
          <w:color w:val="19344A"/>
          <w:sz w:val="24"/>
        </w:rPr>
        <w:t>9.1 Stage gate from engineering job to LIVE Challenge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Stage</w:t>
            </w:r>
          </w:p>
        </w:tc>
        <w:tc>
          <w:tcPr>
            <w:tcW w:type="dxa" w:w="705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Required output</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S0 : Job definition</w:t>
            </w:r>
          </w:p>
        </w:tc>
        <w:tc>
          <w:tcPr>
            <w:tcW w:type="dxa" w:w="70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Customer decision, outputs, operating context, cost of error and current solver/experiment workflow.</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S1 : Physical contract</w:t>
            </w:r>
          </w:p>
        </w:tc>
        <w:tc>
          <w:tcPr>
            <w:tcW w:type="dxa" w:w="70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PhysicalSystemSpec, candidate mapping, model/closure choices, units, assumptions and exclusions.</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S2 : Population design</w:t>
            </w:r>
          </w:p>
        </w:tc>
        <w:tc>
          <w:tcPr>
            <w:tcW w:type="dxa" w:w="70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Target population P(x), hierarchy/strata, query population, provenance and uncertainty.</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S3 : Finite evidence</w:t>
            </w:r>
          </w:p>
        </w:tc>
        <w:tc>
          <w:tcPr>
            <w:tcW w:type="dxa" w:w="70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SamplingPlan Q(x), tail allocation, replication, censoring policy and estimands.</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S4 : Case generation</w:t>
            </w:r>
          </w:p>
        </w:tc>
        <w:tc>
          <w:tcPr>
            <w:tcW w:type="dxa" w:w="70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Canonical cases, deterministic replay, role separation and distribution conformance.</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S5 : Reference policy</w:t>
            </w:r>
          </w:p>
        </w:tc>
        <w:tc>
          <w:tcPr>
            <w:tcW w:type="dxa" w:w="70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Primary, witness and physical anchors; convergence, uncertainty, applicability and disagreement rules.</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S6 : Measurements</w:t>
            </w:r>
          </w:p>
        </w:tc>
        <w:tc>
          <w:tcPr>
            <w:tcW w:type="dxa" w:w="70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Qualified operators, numerical floors, applicability and mandatory versus soft roles.</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S7 : Resolution study</w:t>
            </w:r>
          </w:p>
        </w:tc>
        <w:tc>
          <w:tcPr>
            <w:tcW w:type="dxa" w:w="70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Reference + measurement + reconstruction + sampling uncertainty versus candidate differences.</w:t>
            </w:r>
          </w:p>
        </w:tc>
      </w:tr>
      <w:tr>
        <w:trPr>
          <w:cantSplit/>
        </w:trPr>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S8 : Dossier and LIVE</w:t>
            </w:r>
          </w:p>
        </w:tc>
        <w:tc>
          <w:tcPr>
            <w:tcW w:type="dxa" w:w="705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Independent review, exact identity binding, stop-ship checks and prospective registry activation.</w:t>
            </w:r>
          </w:p>
        </w:tc>
      </w:tr>
      <w:tr>
        <w:trPr>
          <w:cantSplit/>
        </w:trPr>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S9 : Product qualification</w:t>
            </w:r>
          </w:p>
        </w:tc>
        <w:tc>
          <w:tcPr>
            <w:tcW w:type="dxa" w:w="705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Fresh product artifact, Product Battery, context of use, Qualification Record and escalation.</w:t>
            </w:r>
          </w:p>
        </w:tc>
      </w:tr>
    </w:tbl>
    <w:p>
      <w:pPr>
        <w:spacing w:after="20"/>
      </w:pPr>
    </w:p>
    <w:p>
      <w:pPr>
        <w:pStyle w:val="Heading2"/>
        <w:keepNext/>
        <w:keepLines w:val="0"/>
        <w:widowControl/>
        <w:spacing w:before="140" w:after="80" w:line="240" w:lineRule="auto"/>
      </w:pPr>
      <w:r>
        <w:rPr>
          <w:rFonts w:ascii="Lato" w:hAnsi="Lato"/>
          <w:b/>
          <w:i w:val="0"/>
          <w:color w:val="19344A"/>
          <w:sz w:val="24"/>
        </w:rPr>
        <w:t>9.2 Minimum reference dossier by difficulty class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22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Class</w:t>
            </w:r>
          </w:p>
        </w:tc>
        <w:tc>
          <w:tcPr>
            <w:tcW w:type="dxa" w:w="8063"/>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Evidence depth</w:t>
            </w:r>
          </w:p>
        </w:tc>
      </w:tr>
      <w:tr>
        <w:trPr>
          <w:cantSplit/>
        </w:trPr>
        <w:tc>
          <w:tcPr>
            <w:tcW w:type="dxa" w:w="122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Q1–Q2</w:t>
            </w:r>
          </w:p>
        </w:tc>
        <w:tc>
          <w:tcPr>
            <w:tcW w:type="dxa" w:w="8063"/>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Independent implementation of exact/semi-analytic reference; truncation/quadrature/precision study; numerical witness; failure map; hidden generation; physical invariant checks.</w:t>
            </w:r>
          </w:p>
        </w:tc>
      </w:tr>
      <w:tr>
        <w:trPr>
          <w:cantSplit/>
        </w:trPr>
        <w:tc>
          <w:tcPr>
            <w:tcW w:type="dxa" w:w="122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Q3</w:t>
            </w:r>
          </w:p>
        </w:tc>
        <w:tc>
          <w:tcPr>
            <w:tcW w:type="dxa" w:w="8063"/>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All Q1–Q2 evidence plus mesh/time/tolerance convergence, independent method/code, strata-specific uncertainty, censoring analysis and decision-resolution study.</w:t>
            </w:r>
          </w:p>
        </w:tc>
      </w:tr>
      <w:tr>
        <w:trPr>
          <w:cantSplit/>
        </w:trPr>
        <w:tc>
          <w:tcPr>
            <w:tcW w:type="dxa" w:w="122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Q4</w:t>
            </w:r>
          </w:p>
        </w:tc>
        <w:tc>
          <w:tcPr>
            <w:tcW w:type="dxa" w:w="8063"/>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All Q3 evidence plus geometry/material population evidence, customer-relevant output validation, experiment or industrial anchors where material, and deployment parity.</w:t>
            </w:r>
          </w:p>
        </w:tc>
      </w:tr>
      <w:tr>
        <w:trPr>
          <w:cantSplit/>
        </w:trPr>
        <w:tc>
          <w:tcPr>
            <w:tcW w:type="dxa" w:w="122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Q5</w:t>
            </w:r>
          </w:p>
        </w:tc>
        <w:tc>
          <w:tcPr>
            <w:tcW w:type="dxa" w:w="8063"/>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Federated reference policy, component and assembled-system evidence, model-form sensitivity, statistical/ensemble estimands, physical experiments and explicit indeterminate/escalation policy.</w:t>
            </w:r>
          </w:p>
        </w:tc>
      </w:tr>
    </w:tbl>
    <w:p>
      <w:pPr>
        <w:spacing w:after="20"/>
      </w:pPr>
    </w:p>
    <w:p>
      <w:pPr>
        <w:pStyle w:val="Heading2"/>
        <w:keepNext/>
        <w:keepLines w:val="0"/>
        <w:widowControl/>
        <w:spacing w:before="140" w:after="80" w:line="240" w:lineRule="auto"/>
      </w:pPr>
      <w:r>
        <w:rPr>
          <w:rFonts w:ascii="Lato" w:hAnsi="Lato"/>
          <w:b/>
          <w:i w:val="0"/>
          <w:color w:val="19344A"/>
          <w:sz w:val="24"/>
        </w:rPr>
        <w:t>9.3 Hard gates and soft scores</w:t>
      </w:r>
    </w:p>
    <w:p>
      <w:pPr>
        <w:keepNext w:val="0"/>
        <w:keepLines w:val="0"/>
        <w:widowControl/>
        <w:spacing w:before="0" w:after="100" w:line="259" w:lineRule="auto"/>
      </w:pPr>
      <w:r>
        <w:rPr>
          <w:rFonts w:ascii="Inter" w:hAnsi="Inter"/>
          <w:b w:val="0"/>
          <w:i w:val="0"/>
          <w:color w:val="1E2933"/>
          <w:sz w:val="19"/>
        </w:rPr>
        <w:t>Carbon should define hard gates only for qualified mandatory physical properties. The evidence campaign must establish the measurement, applicability, numerical/reference floor and engineering rationale before a threshold can become score-bearing. Soft scores rank candidates that survive admissibility. The current A5 implementation proves a bounded fixture runtime contract; it does not provide production scientific thresholds or LIVE authority. [C3,C7]</w:t>
      </w:r>
    </w:p>
    <w:tbl>
      <w:tblPr>
        <w:tblW w:type="auto" w:w="0"/>
        <w:jc w:val="center"/>
        <w:tblLayout w:type="fixed"/>
        <w:tblLook w:firstColumn="1" w:firstRow="1" w:lastColumn="0" w:lastRow="0" w:noHBand="0" w:noVBand="1" w:val="04A0"/>
      </w:tblPr>
      <w:tblGrid>
        <w:gridCol w:w="10166"/>
      </w:tblGrid>
      <w:tr>
        <w:tc>
          <w:tcPr>
            <w:tcW w:type="dxa" w:w="10166"/>
            <w:shd w:fill="F9EAEA"/>
            <w:tcBorders>
              <w:top w:sz="8" w:val="single" w:color="A43A3A"/>
              <w:left w:sz="18" w:val="single" w:color="A43A3A"/>
              <w:bottom w:sz="8" w:val="single" w:color="A43A3A"/>
              <w:right w:sz="8" w:val="single" w:color="A43A3A"/>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A43A3A"/>
                <w:sz w:val="19"/>
              </w:rPr>
              <w:t xml:space="preserve">Stop-ship  </w:t>
            </w:r>
            <w:r>
              <w:rPr>
                <w:rFonts w:ascii="Inter" w:hAnsi="Inter"/>
                <w:b w:val="0"/>
                <w:i w:val="0"/>
                <w:color w:val="1E2933"/>
                <w:sz w:val="18"/>
              </w:rPr>
              <w:t>Do not lower a physics gate because the generator, reference, candidate population or customer data cannot meet it. Narrow the envelope, repair the implementation, increase evidence or return an indeterminate decision.</w:t>
            </w:r>
          </w:p>
        </w:tc>
        <w:trPr>
          <w:tblHeader/>
        </w:trPr>
      </w:tr>
    </w:tbl>
    <w:p>
      <w:pPr>
        <w:spacing w:after="20"/>
      </w:pPr>
    </w:p>
    <w:p>
      <w:pPr>
        <w:pStyle w:val="Heading2"/>
        <w:keepNext/>
        <w:keepLines w:val="0"/>
        <w:widowControl/>
        <w:spacing w:before="140" w:after="80" w:line="240" w:lineRule="auto"/>
      </w:pPr>
      <w:r>
        <w:rPr>
          <w:rFonts w:ascii="Lato" w:hAnsi="Lato"/>
          <w:b/>
          <w:i w:val="0"/>
          <w:color w:val="19344A"/>
          <w:sz w:val="24"/>
        </w:rPr>
        <w:t>9.4 Product boundary</w:t>
      </w:r>
    </w:p>
    <w:p>
      <w:pPr>
        <w:keepNext w:val="0"/>
        <w:keepLines w:val="0"/>
        <w:widowControl/>
        <w:spacing w:before="0" w:after="100" w:line="259" w:lineRule="auto"/>
      </w:pPr>
      <w:r>
        <w:rPr>
          <w:rFonts w:ascii="Inter" w:hAnsi="Inter"/>
          <w:b w:val="0"/>
          <w:i w:val="0"/>
          <w:color w:val="1E2933"/>
          <w:sz w:val="19"/>
        </w:rPr>
        <w:t>Challenge success answers whether a construction method or candidate survived a registered scientific exam. Product qualification asks whether an exact deployable artifact supports an exact engineering use, under a versioned Product Battery, with stated limitations and escalation. These records stay separate and append-only. [C8]</w:t>
      </w:r>
    </w:p>
    <w:p>
      <w:pPr>
        <w:keepNext/>
        <w:keepLines w:val="0"/>
        <w:widowControl/>
        <w:spacing w:before="200" w:after="100" w:line="240" w:lineRule="auto"/>
      </w:pPr>
      <w:r>
        <w:rPr>
          <w:rFonts w:ascii="Lato" w:hAnsi="Lato"/>
          <w:b/>
          <w:i w:val="0"/>
          <w:color w:val="177E89"/>
          <w:sz w:val="21"/>
        </w:rPr>
        <w:t>10</w:t>
      </w:r>
      <w:r>
        <w:rPr>
          <w:rFonts w:ascii="Lato" w:hAnsi="Lato"/>
          <w:b/>
          <w:i w:val="0"/>
          <w:color w:val="19344A"/>
          <w:sz w:val="36"/>
        </w:rPr>
        <w:t xml:space="preserve">  Proposed research program</w:t>
      </w:r>
    </w:p>
    <w:p>
      <w:pPr>
        <w:keepNext/>
        <w:keepLines w:val="0"/>
        <w:widowControl/>
        <w:spacing w:before="0" w:after="160" w:line="259" w:lineRule="auto"/>
      </w:pPr>
      <w:r>
        <w:rPr>
          <w:rFonts w:ascii="Inter" w:hAnsi="Inter"/>
          <w:b w:val="0"/>
          <w:i/>
          <w:color w:val="5A6872"/>
          <w:sz w:val="18"/>
        </w:rPr>
        <w:t>Experiments that can convert the register into qualified Carbon evidence.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93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5"/>
              </w:rPr>
              <w:t>ID</w:t>
            </w:r>
          </w:p>
        </w:tc>
        <w:tc>
          <w:tcPr>
            <w:tcW w:type="dxa" w:w="194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5"/>
              </w:rPr>
              <w:t>Experiment</w:t>
            </w:r>
          </w:p>
        </w:tc>
        <w:tc>
          <w:tcPr>
            <w:tcW w:type="dxa" w:w="180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5"/>
              </w:rPr>
              <w:t>Regimes</w:t>
            </w:r>
          </w:p>
        </w:tc>
        <w:tc>
          <w:tcPr>
            <w:tcW w:type="dxa" w:w="223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5"/>
              </w:rPr>
              <w:t>Question</w:t>
            </w:r>
          </w:p>
        </w:tc>
        <w:tc>
          <w:tcPr>
            <w:tcW w:type="dxa" w:w="2376"/>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5"/>
              </w:rPr>
              <w:t>Evidence produced</w:t>
            </w:r>
          </w:p>
        </w:tc>
      </w:tr>
      <w:tr>
        <w:trPr>
          <w:cantSplit/>
        </w:trPr>
        <w:tc>
          <w:tcPr>
            <w:tcW w:type="dxa" w:w="9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EXP-01</w:t>
            </w:r>
          </w:p>
        </w:tc>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Three-reference-style judge</w:t>
            </w:r>
          </w:p>
        </w:tc>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Burgers + Poisson + diffusion</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Can Carbon qualify three different reference architectures under one dossier pattern?</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Dossier completeness, reference uncertainty, hidden replay, measurement floors and decision resolution.</w:t>
            </w:r>
          </w:p>
        </w:tc>
      </w:tr>
      <w:tr>
        <w:trPr>
          <w:cantSplit/>
        </w:trPr>
        <w:tc>
          <w:tcPr>
            <w:tcW w:type="dxa" w:w="9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EXP-02</w:t>
            </w:r>
          </w:p>
        </w:tc>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MMS training/data study</w:t>
            </w:r>
          </w:p>
        </w:tc>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Poisson + diffusion + nonlinear conduction</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When does MMS-only, mixed or active MMS reduce solver-data cost without degrading the physical target distribution?</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Hidden physical target error, hard physics, tail strata, data cost and reconstruction variance.</w:t>
            </w:r>
          </w:p>
        </w:tc>
      </w:tr>
      <w:tr>
        <w:trPr>
          <w:cantSplit/>
        </w:trPr>
        <w:tc>
          <w:tcPr>
            <w:tcW w:type="dxa" w:w="9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EXP-03</w:t>
            </w:r>
          </w:p>
        </w:tc>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Hybrid solver bake-off</w:t>
            </w:r>
          </w:p>
        </w:tc>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Poisson/Helmholtz + elasticity + laminar flow</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Which hybrid pattern gives the best end-to-end acceleration under a qualified residual and fallback policy?</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Wall clock, iterations, residual, failures, spectrum/conditioning, hardware transfer and worst stratum.</w:t>
            </w:r>
          </w:p>
        </w:tc>
      </w:tr>
      <w:tr>
        <w:trPr>
          <w:cantSplit/>
        </w:trPr>
        <w:tc>
          <w:tcPr>
            <w:tcW w:type="dxa" w:w="9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EXP-04</w:t>
            </w:r>
          </w:p>
        </w:tc>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MMS mutation challenge</w:t>
            </w:r>
          </w:p>
        </w:tc>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Reference and measurement implementations</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Which seeded implementation defects escape the MMS suite?</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Blind detection rate by defect class; unresolved paths become explicit limitations.</w:t>
            </w:r>
          </w:p>
        </w:tc>
      </w:tr>
      <w:tr>
        <w:trPr>
          <w:cantSplit/>
        </w:trPr>
        <w:tc>
          <w:tcPr>
            <w:tcW w:type="dxa" w:w="9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EXP-05</w:t>
            </w:r>
          </w:p>
        </w:tc>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Reference independence audit</w:t>
            </w:r>
          </w:p>
        </w:tc>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Primary/witness pairs</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How much correlated error remains across methods, codebases, meshes and personnel?</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Disagreement map, shared dependencies, case-level uncertainty and indeterminate rate.</w:t>
            </w:r>
          </w:p>
        </w:tc>
      </w:tr>
      <w:tr>
        <w:trPr>
          <w:cantSplit/>
        </w:trPr>
        <w:tc>
          <w:tcPr>
            <w:tcW w:type="dxa" w:w="9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EXP-06</w:t>
            </w:r>
          </w:p>
        </w:tc>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Thermal bridge qualification</w:t>
            </w:r>
          </w:p>
        </w:tc>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Conduction → nonlinear conduction → interface → Graetz → canonical CHT</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Where does the strong-reference ladder stop supporting a wider claim?</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Reference floors, interface balance, envelope shrinkage, customer relevance and cost.</w:t>
            </w:r>
          </w:p>
        </w:tc>
      </w:tr>
      <w:tr>
        <w:trPr>
          <w:cantSplit/>
        </w:trPr>
        <w:tc>
          <w:tcPr>
            <w:tcW w:type="dxa" w:w="9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EXP-07</w:t>
            </w:r>
          </w:p>
        </w:tc>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Customer CHT discovery</w:t>
            </w:r>
          </w:p>
        </w:tc>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Two or more narrowly defined customer workflows</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Does laminar CHT create enough workflow value to justify Product Battery investment?</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Current solve cost, decision frequency, acceptable escalation, data rights and willingness to pilot.</w:t>
            </w:r>
          </w:p>
        </w:tc>
      </w:tr>
      <w:tr>
        <w:trPr>
          <w:cantSplit/>
        </w:trPr>
        <w:tc>
          <w:tcPr>
            <w:tcW w:type="dxa" w:w="9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EXP-08</w:t>
            </w:r>
          </w:p>
        </w:tc>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Shock measurement study</w:t>
            </w:r>
          </w:p>
        </w:tc>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Burgers / scalar conservation / shallow water / Euler</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Which measurements distinguish physically better shock solutions without rewarding grid alignment artifacts?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Shock location, state errors, conservation, entropy and decision stability.</w:t>
            </w:r>
          </w:p>
        </w:tc>
      </w:tr>
      <w:tr>
        <w:trPr>
          <w:cantSplit/>
        </w:trPr>
        <w:tc>
          <w:tcPr>
            <w:tcW w:type="dxa" w:w="93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EXP-09</w:t>
            </w:r>
          </w:p>
        </w:tc>
        <w:tc>
          <w:tcPr>
            <w:tcW w:type="dxa" w:w="194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Hard-regime reference federation</w:t>
            </w:r>
          </w:p>
        </w:tc>
        <w:tc>
          <w:tcPr>
            <w:tcW w:type="dxa" w:w="18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One partner-selected Q5 regime</w:t>
            </w:r>
          </w:p>
        </w:tc>
        <w:tc>
          <w:tcPr>
            <w:tcW w:type="dxa" w:w="223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Can analytic anchors, numerical witnesses and experiments support a bounded claim?</w:t>
            </w:r>
          </w:p>
        </w:tc>
        <w:tc>
          <w:tcPr>
            <w:tcW w:type="dxa" w:w="2376"/>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Reference availability, model-form spread, measurement uncertainty, censoring and cost.</w:t>
            </w:r>
          </w:p>
        </w:tc>
      </w:tr>
      <w:tr>
        <w:trPr>
          <w:cantSplit/>
        </w:trPr>
        <w:tc>
          <w:tcPr>
            <w:tcW w:type="dxa" w:w="93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4"/>
              </w:rPr>
              <w:t>EXP-10</w:t>
            </w:r>
          </w:p>
        </w:tc>
        <w:tc>
          <w:tcPr>
            <w:tcW w:type="dxa" w:w="194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Physics Intelligence prospective test</w:t>
            </w:r>
          </w:p>
        </w:tc>
        <w:tc>
          <w:tcPr>
            <w:tcW w:type="dxa" w:w="18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Cross-regime strategy recommendations</w:t>
            </w:r>
          </w:p>
        </w:tc>
        <w:tc>
          <w:tcPr>
            <w:tcW w:type="dxa" w:w="223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Do Landscape recommendations improve future experimental outcomes?</w:t>
            </w:r>
          </w:p>
        </w:tc>
        <w:tc>
          <w:tcPr>
            <w:tcW w:type="dxa" w:w="2376"/>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4"/>
              </w:rPr>
              <w:t>Pre-registered prediction quality and treatment/control comparison; no live score adaptation.</w:t>
            </w:r>
          </w:p>
        </w:tc>
      </w:tr>
    </w:tbl>
    <w:p>
      <w:pPr>
        <w:spacing w:after="20"/>
      </w:pPr>
    </w:p>
    <w:p>
      <w:pPr>
        <w:pStyle w:val="Heading2"/>
        <w:keepNext/>
        <w:keepLines w:val="0"/>
        <w:widowControl/>
        <w:spacing w:before="140" w:after="80" w:line="240" w:lineRule="auto"/>
      </w:pPr>
      <w:r>
        <w:rPr>
          <w:rFonts w:ascii="Lato" w:hAnsi="Lato"/>
          <w:b/>
          <w:i w:val="0"/>
          <w:color w:val="19344A"/>
          <w:sz w:val="24"/>
        </w:rPr>
        <w:t>10.1 Experimental governance</w:t>
      </w:r>
    </w:p>
    <w:p>
      <w:pPr>
        <w:pStyle w:val="ListBullet"/>
        <w:keepNext w:val="0"/>
        <w:keepLines w:val="0"/>
        <w:widowControl/>
        <w:spacing w:before="0" w:after="50" w:line="250" w:lineRule="auto"/>
      </w:pPr>
      <w:r>
        <w:rPr>
          <w:rFonts w:ascii="Inter" w:hAnsi="Inter"/>
          <w:b w:val="0"/>
          <w:i w:val="0"/>
          <w:color w:val="1E2933"/>
          <w:sz w:val="18"/>
        </w:rPr>
        <w:t>Register hypotheses, identities, populations, measurements and decision rules before observing candidate outcomes.</w:t>
      </w:r>
    </w:p>
    <w:p>
      <w:pPr>
        <w:pStyle w:val="ListBullet"/>
        <w:keepNext w:val="0"/>
        <w:keepLines w:val="0"/>
        <w:widowControl/>
        <w:spacing w:before="0" w:after="50" w:line="250" w:lineRule="auto"/>
      </w:pPr>
      <w:r>
        <w:rPr>
          <w:rFonts w:ascii="Inter" w:hAnsi="Inter"/>
          <w:b w:val="0"/>
          <w:i w:val="0"/>
          <w:color w:val="1E2933"/>
          <w:sz w:val="18"/>
        </w:rPr>
        <w:t>Use separate public/practice, qualification and protected official case roles.</w:t>
      </w:r>
    </w:p>
    <w:p>
      <w:pPr>
        <w:pStyle w:val="ListBullet"/>
        <w:keepNext w:val="0"/>
        <w:keepLines w:val="0"/>
        <w:widowControl/>
        <w:spacing w:before="0" w:after="50" w:line="250" w:lineRule="auto"/>
      </w:pPr>
      <w:r>
        <w:rPr>
          <w:rFonts w:ascii="Inter" w:hAnsi="Inter"/>
          <w:b w:val="0"/>
          <w:i w:val="0"/>
          <w:color w:val="1E2933"/>
          <w:sz w:val="18"/>
        </w:rPr>
        <w:t>Preserve failed and indeterminate outcomes as evidence; infrastructure failure is not negative scientific evidence.</w:t>
      </w:r>
    </w:p>
    <w:p>
      <w:pPr>
        <w:pStyle w:val="ListBullet"/>
        <w:keepNext w:val="0"/>
        <w:keepLines w:val="0"/>
        <w:widowControl/>
        <w:spacing w:before="0" w:after="50" w:line="250" w:lineRule="auto"/>
      </w:pPr>
      <w:r>
        <w:rPr>
          <w:rFonts w:ascii="Inter" w:hAnsi="Inter"/>
          <w:b w:val="0"/>
          <w:i w:val="0"/>
          <w:color w:val="1E2933"/>
          <w:sz w:val="18"/>
        </w:rPr>
        <w:t>Do not let a proposed experiment silently mutate a LIVE Challenge or historical score.</w:t>
      </w:r>
    </w:p>
    <w:p>
      <w:pPr>
        <w:pStyle w:val="ListBullet"/>
        <w:keepNext w:val="0"/>
        <w:keepLines w:val="0"/>
        <w:widowControl/>
        <w:spacing w:before="0" w:after="50" w:line="250" w:lineRule="auto"/>
      </w:pPr>
      <w:r>
        <w:rPr>
          <w:rFonts w:ascii="Inter" w:hAnsi="Inter"/>
          <w:b w:val="0"/>
          <w:i w:val="0"/>
          <w:color w:val="1E2933"/>
          <w:sz w:val="18"/>
        </w:rPr>
        <w:t>Publish or retain enough case-level evidence to reconstruct the scientific decision without exposing protected answer-key material.</w:t>
      </w:r>
    </w:p>
    <w:p>
      <w:pPr>
        <w:keepNext/>
        <w:keepLines w:val="0"/>
        <w:widowControl/>
        <w:spacing w:before="200" w:after="100" w:line="240" w:lineRule="auto"/>
      </w:pPr>
      <w:r>
        <w:rPr>
          <w:rFonts w:ascii="Lato" w:hAnsi="Lato"/>
          <w:b/>
          <w:i w:val="0"/>
          <w:color w:val="177E89"/>
          <w:sz w:val="21"/>
        </w:rPr>
        <w:t>11</w:t>
      </w:r>
      <w:r>
        <w:rPr>
          <w:rFonts w:ascii="Lato" w:hAnsi="Lato"/>
          <w:b/>
          <w:i w:val="0"/>
          <w:color w:val="19344A"/>
          <w:sz w:val="36"/>
        </w:rPr>
        <w:t xml:space="preserve">  Thermal / laminar CHT wedge hypothesis</w:t>
      </w:r>
    </w:p>
    <w:p>
      <w:pPr>
        <w:keepNext/>
        <w:keepLines w:val="0"/>
        <w:widowControl/>
        <w:spacing w:before="0" w:after="160" w:line="259" w:lineRule="auto"/>
      </w:pPr>
      <w:r>
        <w:rPr>
          <w:rFonts w:ascii="Inter" w:hAnsi="Inter"/>
          <w:b w:val="0"/>
          <w:i/>
          <w:color w:val="5A6872"/>
          <w:sz w:val="18"/>
        </w:rPr>
        <w:t>A plausible commercial bridge that still needs customer and Product Battery evidence.</w:t>
      </w:r>
    </w:p>
    <w:p>
      <w:pPr>
        <w:keepNext w:val="0"/>
        <w:keepLines w:val="0"/>
        <w:widowControl/>
        <w:spacing w:before="60" w:after="20" w:line="240" w:lineRule="auto"/>
        <w:jc w:val="center"/>
      </w:pPr>
      <w:r>
        <w:drawing>
          <wp:inline xmlns:a="http://schemas.openxmlformats.org/drawingml/2006/main" xmlns:pic="http://schemas.openxmlformats.org/drawingml/2006/picture">
            <wp:extent cx="6035040" cy="2535640"/>
            <wp:docPr id="4" name="Picture 4" title="Figure 4. Thermal-to-CHT evidence ladder." descr="Five-step ladder from constant-property conduction through customer-specific laminar conjugate heat transfer, with a new qualification identity at every step."/>
            <wp:cNvGraphicFramePr>
              <a:graphicFrameLocks noChangeAspect="1"/>
            </wp:cNvGraphicFramePr>
            <a:graphic>
              <a:graphicData uri="http://schemas.openxmlformats.org/drawingml/2006/picture">
                <pic:pic>
                  <pic:nvPicPr>
                    <pic:cNvPr id="0" name="thermal_bridge.png"/>
                    <pic:cNvPicPr/>
                  </pic:nvPicPr>
                  <pic:blipFill>
                    <a:blip r:embed="rId14"/>
                    <a:stretch>
                      <a:fillRect/>
                    </a:stretch>
                  </pic:blipFill>
                  <pic:spPr>
                    <a:xfrm>
                      <a:off x="0" y="0"/>
                      <a:ext cx="6035040" cy="2535640"/>
                    </a:xfrm>
                    <a:prstGeom prst="rect"/>
                  </pic:spPr>
                </pic:pic>
              </a:graphicData>
            </a:graphic>
          </wp:inline>
        </w:drawing>
      </w:r>
    </w:p>
    <w:p>
      <w:pPr>
        <w:keepNext w:val="0"/>
        <w:keepLines w:val="0"/>
        <w:widowControl/>
        <w:spacing w:before="40" w:after="140" w:line="240" w:lineRule="auto"/>
        <w:jc w:val="center"/>
      </w:pPr>
      <w:r>
        <w:rPr>
          <w:rFonts w:ascii="Inter" w:hAnsi="Inter"/>
          <w:b w:val="0"/>
          <w:i/>
          <w:color w:val="5A6872"/>
          <w:sz w:val="16"/>
        </w:rPr>
        <w:t>Figure 4. Thermal-to-CHT evidence ladder.</w:t>
      </w:r>
    </w:p>
    <w:p>
      <w:pPr>
        <w:pStyle w:val="Heading2"/>
        <w:keepNext/>
        <w:keepLines w:val="0"/>
        <w:widowControl/>
        <w:spacing w:before="140" w:after="80" w:line="240" w:lineRule="auto"/>
      </w:pPr>
      <w:r>
        <w:rPr>
          <w:rFonts w:ascii="Lato" w:hAnsi="Lato"/>
          <w:b/>
          <w:i w:val="0"/>
          <w:color w:val="19344A"/>
          <w:sz w:val="24"/>
        </w:rPr>
        <w:t>11.1 Why thermal is scientifically attractive</w:t>
      </w:r>
    </w:p>
    <w:p>
      <w:pPr>
        <w:pStyle w:val="ListBullet"/>
        <w:keepNext w:val="0"/>
        <w:keepLines w:val="0"/>
        <w:widowControl/>
        <w:spacing w:before="0" w:after="50" w:line="250" w:lineRule="auto"/>
      </w:pPr>
      <w:r>
        <w:rPr>
          <w:rFonts w:ascii="Inter" w:hAnsi="Inter"/>
          <w:b w:val="0"/>
          <w:i w:val="0"/>
          <w:color w:val="1E2933"/>
          <w:sz w:val="18"/>
        </w:rPr>
        <w:t>Heat conduction offers exact kernels, series solutions, limiting cases and mature numerical verification.</w:t>
      </w:r>
    </w:p>
    <w:p>
      <w:pPr>
        <w:pStyle w:val="ListBullet"/>
        <w:keepNext w:val="0"/>
        <w:keepLines w:val="0"/>
        <w:widowControl/>
        <w:spacing w:before="0" w:after="50" w:line="250" w:lineRule="auto"/>
      </w:pPr>
      <w:r>
        <w:rPr>
          <w:rFonts w:ascii="Inter" w:hAnsi="Inter"/>
          <w:b w:val="0"/>
          <w:i w:val="0"/>
          <w:color w:val="1E2933"/>
          <w:sz w:val="18"/>
        </w:rPr>
        <w:t>Temperature-dependent conductivity offers Kirchhoff-transform reference islands that are structurally related to the Cole–Hopf idea. [E27]</w:t>
      </w:r>
    </w:p>
    <w:p>
      <w:pPr>
        <w:pStyle w:val="ListBullet"/>
        <w:keepNext w:val="0"/>
        <w:keepLines w:val="0"/>
        <w:widowControl/>
        <w:spacing w:before="0" w:after="50" w:line="250" w:lineRule="auto"/>
      </w:pPr>
      <w:r>
        <w:rPr>
          <w:rFonts w:ascii="Inter" w:hAnsi="Inter"/>
          <w:b w:val="0"/>
          <w:i w:val="0"/>
          <w:color w:val="1E2933"/>
          <w:sz w:val="18"/>
        </w:rPr>
        <w:t>Interface conduction and extended-Graetz problems add engineering realism while retaining analytic/semi-analytic anchors. [E28]</w:t>
      </w:r>
    </w:p>
    <w:p>
      <w:pPr>
        <w:pStyle w:val="ListBullet"/>
        <w:keepNext w:val="0"/>
        <w:keepLines w:val="0"/>
        <w:widowControl/>
        <w:spacing w:before="0" w:after="50" w:line="250" w:lineRule="auto"/>
      </w:pPr>
      <w:r>
        <w:rPr>
          <w:rFonts w:ascii="Inter" w:hAnsi="Inter"/>
          <w:b w:val="0"/>
          <w:i w:val="0"/>
          <w:color w:val="1E2933"/>
          <w:sz w:val="18"/>
        </w:rPr>
        <w:t>Canonical laminar CHT supports independent numerical benchmarks and explicit interface-flux measurements. Published disagreement between benchmarks demonstrates why Carbon must preserve reference disagreement rather than average it away. [E29]</w:t>
      </w:r>
    </w:p>
    <w:p>
      <w:pPr>
        <w:pStyle w:val="ListBullet"/>
        <w:keepNext w:val="0"/>
        <w:keepLines w:val="0"/>
        <w:widowControl/>
        <w:spacing w:before="0" w:after="50" w:line="250" w:lineRule="auto"/>
      </w:pPr>
      <w:r>
        <w:rPr>
          <w:rFonts w:ascii="Inter" w:hAnsi="Inter"/>
          <w:b w:val="0"/>
          <w:i w:val="0"/>
          <w:color w:val="1E2933"/>
          <w:sz w:val="18"/>
        </w:rPr>
        <w:t>The same scientific ladder maps to electronics, cold plates, motors, heat exchangers, process equipment and other many-query thermal design workflows. [CH]</w:t>
      </w:r>
    </w:p>
    <w:p>
      <w:pPr>
        <w:pStyle w:val="Heading2"/>
        <w:keepNext/>
        <w:keepLines w:val="0"/>
        <w:widowControl/>
        <w:spacing w:before="140" w:after="80" w:line="240" w:lineRule="auto"/>
      </w:pPr>
      <w:r>
        <w:rPr>
          <w:rFonts w:ascii="Lato" w:hAnsi="Lato"/>
          <w:b/>
          <w:i w:val="0"/>
          <w:color w:val="19344A"/>
          <w:sz w:val="24"/>
        </w:rPr>
        <w:t>11.2 Evidence still missing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Missing evidence</w:t>
            </w:r>
          </w:p>
        </w:tc>
        <w:tc>
          <w:tcPr>
            <w:tcW w:type="dxa" w:w="7200"/>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What would resolve it</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Customer problem</w:t>
            </w:r>
          </w:p>
        </w:tc>
        <w:tc>
          <w:tcPr>
            <w:tcW w:type="dxa" w:w="72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A named decision, current simulation workflow, solve frequency, economic burden and acceptable escalation.</w:t>
            </w:r>
          </w:p>
        </w:tc>
      </w:tr>
      <w:tr>
        <w:trPr>
          <w:cantSplit/>
        </w:trPr>
        <w:tc>
          <w:tcPr>
            <w:tcW w:type="dxa" w:w="20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Operating population</w:t>
            </w:r>
          </w:p>
        </w:tc>
        <w:tc>
          <w:tcPr>
            <w:tcW w:type="dxa" w:w="72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Geometry, flow, material, BC, query and regime distributions with provenance.</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Reference stack</w:t>
            </w:r>
          </w:p>
        </w:tc>
        <w:tc>
          <w:tcPr>
            <w:tcW w:type="dxa" w:w="72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Primary and independent CHT paths, mesh/time/model sensitivity, interface balance and experiments where needed.</w:t>
            </w:r>
          </w:p>
        </w:tc>
      </w:tr>
      <w:tr>
        <w:trPr>
          <w:cantSplit/>
        </w:trPr>
        <w:tc>
          <w:tcPr>
            <w:tcW w:type="dxa" w:w="2088"/>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Product evidence</w:t>
            </w:r>
          </w:p>
        </w:tc>
        <w:tc>
          <w:tcPr>
            <w:tcW w:type="dxa" w:w="7200"/>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Fresh product artifact, Product Battery, deployment parity, limitations, escalation and requalification.</w:t>
            </w:r>
          </w:p>
        </w:tc>
      </w:tr>
      <w:tr>
        <w:trPr>
          <w:cantSplit/>
        </w:trPr>
        <w:tc>
          <w:tcPr>
            <w:tcW w:type="dxa" w:w="2088"/>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Commercial decision</w:t>
            </w:r>
          </w:p>
        </w:tc>
        <w:tc>
          <w:tcPr>
            <w:tcW w:type="dxa" w:w="7200"/>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Prospective evidence that customers value the bounded offer enough to fund deployment and lifecycle support.</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BF4E5"/>
            <w:tcBorders>
              <w:top w:sz="8" w:val="single" w:color="B7791F"/>
              <w:left w:sz="18" w:val="single" w:color="B7791F"/>
              <w:bottom w:sz="8" w:val="single" w:color="B7791F"/>
              <w:right w:sz="8" w:val="single" w:color="B7791F"/>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B7791F"/>
                <w:sz w:val="19"/>
              </w:rPr>
              <w:t xml:space="preserve">Current status  </w:t>
            </w:r>
            <w:r>
              <w:rPr>
                <w:rFonts w:ascii="Inter" w:hAnsi="Inter"/>
                <w:b w:val="0"/>
                <w:i w:val="0"/>
                <w:color w:val="1E2933"/>
                <w:sz w:val="18"/>
              </w:rPr>
              <w:t>[CH] Thermal transport and laminar CHT remain a commercial wedge hypothesis. The scientific tractability supports investigation; it does not settle product-market fit or authorize a product claim.</w:t>
            </w:r>
          </w:p>
        </w:tc>
        <w:trPr>
          <w:tblHeader/>
        </w:trPr>
      </w:tr>
    </w:tbl>
    <w:p>
      <w:pPr>
        <w:spacing w:after="20"/>
      </w:pPr>
    </w:p>
    <w:p>
      <w:pPr>
        <w:pStyle w:val="Heading2"/>
        <w:keepNext/>
        <w:keepLines w:val="0"/>
        <w:widowControl/>
        <w:spacing w:before="140" w:after="80" w:line="240" w:lineRule="auto"/>
      </w:pPr>
      <w:r>
        <w:rPr>
          <w:rFonts w:ascii="Lato" w:hAnsi="Lato"/>
          <w:b/>
          <w:i w:val="0"/>
          <w:color w:val="19344A"/>
          <w:sz w:val="24"/>
        </w:rPr>
        <w:t>11.3 Recommended thermal offer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Step</w:t>
            </w:r>
          </w:p>
        </w:tc>
        <w:tc>
          <w:tcPr>
            <w:tcW w:type="dxa" w:w="3024"/>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Offer</w:t>
            </w:r>
          </w:p>
        </w:tc>
        <w:tc>
          <w:tcPr>
            <w:tcW w:type="dxa" w:w="5112"/>
            <w:shd w:fill="19344A"/>
            <w:tcMar>
              <w:top w:w="70" w:type="dxa"/>
              <w:start w:w="70" w:type="dxa"/>
              <w:bottom w:w="70" w:type="dxa"/>
              <w:end w:w="70" w:type="dxa"/>
            </w:tcMar>
            <w:vAlign w:val="center"/>
          </w:tcPr>
          <w:p>
            <w:pPr>
              <w:keepNext w:val="0"/>
              <w:keepLines w:val="0"/>
              <w:widowControl/>
              <w:spacing w:before="0" w:after="0" w:line="240" w:lineRule="auto"/>
              <w:jc w:val="center"/>
            </w:pPr>
            <w:r>
              <w:rPr>
                <w:rFonts w:ascii="Lato" w:hAnsi="Lato"/>
                <w:b/>
                <w:i w:val="0"/>
                <w:color w:val="FFFFFF"/>
                <w:sz w:val="17"/>
              </w:rPr>
              <w:t>Qualification boundary</w:t>
            </w:r>
          </w:p>
        </w:tc>
      </w:tr>
      <w:tr>
        <w:trPr>
          <w:cantSplit/>
        </w:trPr>
        <w:tc>
          <w:tcPr>
            <w:tcW w:type="dxa" w:w="115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Offer A</w:t>
            </w:r>
          </w:p>
        </w:tc>
        <w:tc>
          <w:tcPr>
            <w:tcW w:type="dxa" w:w="302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Qualified conduction surrogate/accelerator</w:t>
            </w:r>
          </w:p>
        </w:tc>
        <w:tc>
          <w:tcPr>
            <w:tcW w:type="dxa" w:w="511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Reference-rich thermal design loops with clear BC/material envelopes.</w:t>
            </w:r>
          </w:p>
        </w:tc>
      </w:tr>
      <w:tr>
        <w:trPr>
          <w:cantSplit/>
        </w:trPr>
        <w:tc>
          <w:tcPr>
            <w:tcW w:type="dxa" w:w="115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Offer B</w:t>
            </w:r>
          </w:p>
        </w:tc>
        <w:tc>
          <w:tcPr>
            <w:tcW w:type="dxa" w:w="302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Nonlinear conduction specialist</w:t>
            </w:r>
          </w:p>
        </w:tc>
        <w:tc>
          <w:tcPr>
            <w:tcW w:type="dxa" w:w="511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Bounded k(T) laws with transform and numerical evidence.</w:t>
            </w:r>
          </w:p>
        </w:tc>
      </w:tr>
      <w:tr>
        <w:trPr>
          <w:cantSplit/>
        </w:trPr>
        <w:tc>
          <w:tcPr>
            <w:tcW w:type="dxa" w:w="115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Offer C</w:t>
            </w:r>
          </w:p>
        </w:tc>
        <w:tc>
          <w:tcPr>
            <w:tcW w:type="dxa" w:w="302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Interface/composite thermal specialist</w:t>
            </w:r>
          </w:p>
        </w:tc>
        <w:tc>
          <w:tcPr>
            <w:tcW w:type="dxa" w:w="511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Multi-material parts and interface-flux qualification.</w:t>
            </w:r>
          </w:p>
        </w:tc>
      </w:tr>
      <w:tr>
        <w:trPr>
          <w:cantSplit/>
        </w:trPr>
        <w:tc>
          <w:tcPr>
            <w:tcW w:type="dxa" w:w="115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Offer D</w:t>
            </w:r>
          </w:p>
        </w:tc>
        <w:tc>
          <w:tcPr>
            <w:tcW w:type="dxa" w:w="3024"/>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Canonical laminar CHT pilot</w:t>
            </w:r>
          </w:p>
        </w:tc>
        <w:tc>
          <w:tcPr>
            <w:tcW w:type="dxa" w:w="5112"/>
            <w:shd w:fill="F4F7F9"/>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A narrow geometry/flow family with independent coupled references.</w:t>
            </w:r>
          </w:p>
        </w:tc>
      </w:tr>
      <w:tr>
        <w:trPr>
          <w:cantSplit/>
        </w:trPr>
        <w:tc>
          <w:tcPr>
            <w:tcW w:type="dxa" w:w="115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i w:val="0"/>
                <w:color w:val="1E2933"/>
                <w:sz w:val="17"/>
              </w:rPr>
              <w:t>Offer E</w:t>
            </w:r>
          </w:p>
        </w:tc>
        <w:tc>
          <w:tcPr>
            <w:tcW w:type="dxa" w:w="3024"/>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Customer CHT specialist</w:t>
            </w:r>
          </w:p>
        </w:tc>
        <w:tc>
          <w:tcPr>
            <w:tcW w:type="dxa" w:w="5112"/>
            <w:shd w:fill="FFFFFF"/>
            <w:tcMar>
              <w:top w:w="58" w:type="dxa"/>
              <w:start w:w="65" w:type="dxa"/>
              <w:bottom w:w="58" w:type="dxa"/>
              <w:end w:w="65" w:type="dxa"/>
            </w:tcMar>
            <w:vAlign w:val="top"/>
          </w:tcPr>
          <w:p>
            <w:pPr>
              <w:keepNext w:val="0"/>
              <w:keepLines w:val="0"/>
              <w:widowControl/>
              <w:spacing w:before="0" w:after="0" w:line="245" w:lineRule="auto"/>
            </w:pPr>
            <w:r>
              <w:rPr>
                <w:rFonts w:ascii="Inter" w:hAnsi="Inter"/>
                <w:b w:val="0"/>
                <w:i w:val="0"/>
                <w:color w:val="1E2933"/>
                <w:sz w:val="17"/>
              </w:rPr>
              <w:t>Customer population, Product Battery and escalation to the customer/Carbon reference solver.</w:t>
            </w:r>
          </w:p>
        </w:tc>
      </w:tr>
    </w:tbl>
    <w:p>
      <w:pPr>
        <w:spacing w:after="20"/>
      </w:pPr>
    </w:p>
    <w:p>
      <w:pPr>
        <w:keepNext/>
        <w:keepLines w:val="0"/>
        <w:widowControl/>
        <w:spacing w:before="200" w:after="100" w:line="240" w:lineRule="auto"/>
      </w:pPr>
      <w:r>
        <w:rPr>
          <w:rFonts w:ascii="Lato" w:hAnsi="Lato"/>
          <w:b/>
          <w:i w:val="0"/>
          <w:color w:val="177E89"/>
          <w:sz w:val="21"/>
        </w:rPr>
        <w:t>12</w:t>
      </w:r>
      <w:r>
        <w:rPr>
          <w:rFonts w:ascii="Lato" w:hAnsi="Lato"/>
          <w:b/>
          <w:i w:val="0"/>
          <w:color w:val="19344A"/>
          <w:sz w:val="36"/>
        </w:rPr>
        <w:t xml:space="preserve">  Sources and evidence ledger</w:t>
      </w:r>
    </w:p>
    <w:p>
      <w:pPr>
        <w:keepNext/>
        <w:keepLines w:val="0"/>
        <w:widowControl/>
        <w:spacing w:before="0" w:after="160" w:line="259" w:lineRule="auto"/>
      </w:pPr>
      <w:r>
        <w:rPr>
          <w:rFonts w:ascii="Inter" w:hAnsi="Inter"/>
          <w:b w:val="0"/>
          <w:i/>
          <w:color w:val="5A6872"/>
          <w:sz w:val="18"/>
        </w:rPr>
        <w:t>Carbon authority documents and external primary, official or reproducible sources.</w:t>
      </w:r>
    </w:p>
    <w:p>
      <w:pPr>
        <w:pStyle w:val="Heading2"/>
        <w:keepNext/>
        <w:keepLines w:val="0"/>
        <w:widowControl/>
        <w:spacing w:before="140" w:after="80" w:line="240" w:lineRule="auto"/>
      </w:pPr>
      <w:r>
        <w:rPr>
          <w:rFonts w:ascii="Lato" w:hAnsi="Lato"/>
          <w:b/>
          <w:i w:val="0"/>
          <w:color w:val="19344A"/>
          <w:sz w:val="24"/>
        </w:rPr>
        <w:t>12.1 Carbon source authority</w:t>
      </w:r>
    </w:p>
    <w:p>
      <w:pPr>
        <w:keepNext w:val="0"/>
        <w:keepLines w:val="0"/>
        <w:widowControl/>
        <w:spacing w:before="0" w:after="60" w:line="252" w:lineRule="auto"/>
      </w:pPr>
      <w:r>
        <w:rPr>
          <w:rFonts w:ascii="Lato" w:hAnsi="Lato"/>
          <w:b/>
          <w:i w:val="0"/>
          <w:color w:val="0F5961"/>
          <w:sz w:val="17"/>
        </w:rPr>
        <w:t xml:space="preserve">[C1] </w:t>
      </w:r>
      <w:r>
        <w:rPr>
          <w:rFonts w:ascii="Inter" w:hAnsi="Inter"/>
          <w:b/>
          <w:i w:val="0"/>
          <w:color w:val="1E2933"/>
          <w:sz w:val="17"/>
        </w:rPr>
        <w:t xml:space="preserve">Carbon Scientific Reference Canon v4 : Integrated Master. </w:t>
      </w:r>
      <w:r>
        <w:rPr>
          <w:rFonts w:ascii="Inter" w:hAnsi="Inter"/>
          <w:b w:val="0"/>
          <w:i w:val="0"/>
          <w:color w:val="5A6872"/>
          <w:sz w:val="16"/>
        </w:rPr>
        <w:t>Owner-canonical scientific/evidence constitution; repository snapshot 4e4a66d, 27 Aug 2026.</w:t>
      </w:r>
    </w:p>
    <w:p>
      <w:pPr>
        <w:keepNext w:val="0"/>
        <w:keepLines w:val="0"/>
        <w:widowControl/>
        <w:spacing w:before="0" w:after="60" w:line="252" w:lineRule="auto"/>
      </w:pPr>
      <w:r>
        <w:rPr>
          <w:rFonts w:ascii="Lato" w:hAnsi="Lato"/>
          <w:b/>
          <w:i w:val="0"/>
          <w:color w:val="0F5961"/>
          <w:sz w:val="17"/>
        </w:rPr>
        <w:t xml:space="preserve">[C2] </w:t>
      </w:r>
      <w:r>
        <w:rPr>
          <w:rFonts w:ascii="Inter" w:hAnsi="Inter"/>
          <w:b/>
          <w:i w:val="0"/>
          <w:color w:val="1E2933"/>
          <w:sz w:val="17"/>
        </w:rPr>
        <w:t xml:space="preserve">Carbon Challenge Instance Distribution Architecture. </w:t>
      </w:r>
      <w:r>
        <w:rPr>
          <w:rFonts w:ascii="Inter" w:hAnsi="Inter"/>
          <w:b w:val="0"/>
          <w:i w:val="0"/>
          <w:color w:val="5A6872"/>
          <w:sz w:val="16"/>
        </w:rPr>
        <w:t>Locked separation of target population P(x), finite sampling Q(x), weighting w(x), generator conformance and censoring.</w:t>
      </w:r>
    </w:p>
    <w:p>
      <w:pPr>
        <w:keepNext w:val="0"/>
        <w:keepLines w:val="0"/>
        <w:widowControl/>
        <w:spacing w:before="0" w:after="60" w:line="252" w:lineRule="auto"/>
      </w:pPr>
      <w:r>
        <w:rPr>
          <w:rFonts w:ascii="Lato" w:hAnsi="Lato"/>
          <w:b/>
          <w:i w:val="0"/>
          <w:color w:val="0F5961"/>
          <w:sz w:val="17"/>
        </w:rPr>
        <w:t xml:space="preserve">[C3] </w:t>
      </w:r>
      <w:r>
        <w:rPr>
          <w:rFonts w:ascii="Inter" w:hAnsi="Inter"/>
          <w:b/>
          <w:i w:val="0"/>
          <w:color w:val="1E2933"/>
          <w:sz w:val="17"/>
        </w:rPr>
        <w:t xml:space="preserve">Evidence &amp; Envelope Standards. </w:t>
      </w:r>
      <w:r>
        <w:rPr>
          <w:rFonts w:ascii="Inter" w:hAnsi="Inter"/>
          <w:b w:val="0"/>
          <w:i w:val="0"/>
          <w:color w:val="5A6872"/>
          <w:sz w:val="16"/>
        </w:rPr>
        <w:t>Reference roles, claim-bound envelopes, coverage and threshold-calibration doctrine.</w:t>
      </w:r>
    </w:p>
    <w:p>
      <w:pPr>
        <w:keepNext w:val="0"/>
        <w:keepLines w:val="0"/>
        <w:widowControl/>
        <w:spacing w:before="0" w:after="60" w:line="252" w:lineRule="auto"/>
      </w:pPr>
      <w:r>
        <w:rPr>
          <w:rFonts w:ascii="Lato" w:hAnsi="Lato"/>
          <w:b/>
          <w:i w:val="0"/>
          <w:color w:val="0F5961"/>
          <w:sz w:val="17"/>
        </w:rPr>
        <w:t xml:space="preserve">[C4] </w:t>
      </w:r>
      <w:r>
        <w:rPr>
          <w:rFonts w:ascii="Inter" w:hAnsi="Inter"/>
          <w:b/>
          <w:i w:val="0"/>
          <w:color w:val="1E2933"/>
          <w:sz w:val="17"/>
        </w:rPr>
        <w:t xml:space="preserve">Generator Creation : Human Build Guide, Reference Verification, and Incentive Defensibility. </w:t>
      </w:r>
      <w:r>
        <w:rPr>
          <w:rFonts w:ascii="Inter" w:hAnsi="Inter"/>
          <w:b w:val="0"/>
          <w:i w:val="0"/>
          <w:color w:val="5A6872"/>
          <w:sz w:val="16"/>
        </w:rPr>
        <w:t>Case-generator/reference separation and two-campaign qualification model.</w:t>
      </w:r>
    </w:p>
    <w:p>
      <w:pPr>
        <w:keepNext w:val="0"/>
        <w:keepLines w:val="0"/>
        <w:widowControl/>
        <w:spacing w:before="0" w:after="60" w:line="252" w:lineRule="auto"/>
      </w:pPr>
      <w:r>
        <w:rPr>
          <w:rFonts w:ascii="Lato" w:hAnsi="Lato"/>
          <w:b/>
          <w:i w:val="0"/>
          <w:color w:val="0F5961"/>
          <w:sz w:val="17"/>
        </w:rPr>
        <w:t xml:space="preserve">[C5] </w:t>
      </w:r>
      <w:r>
        <w:rPr>
          <w:rFonts w:ascii="Inter" w:hAnsi="Inter"/>
          <w:b/>
          <w:i w:val="0"/>
          <w:color w:val="1E2933"/>
          <w:sz w:val="17"/>
        </w:rPr>
        <w:t xml:space="preserve">Carbon Validation Dossier : Challenge Distribution, Generator, Truth, and Measurement Qualification. </w:t>
      </w:r>
      <w:r>
        <w:rPr>
          <w:rFonts w:ascii="Inter" w:hAnsi="Inter"/>
          <w:b w:val="0"/>
          <w:i w:val="0"/>
          <w:color w:val="5A6872"/>
          <w:sz w:val="16"/>
        </w:rPr>
        <w:t>D1–D12 dossier architecture and LIVE stop-ship conditions.</w:t>
      </w:r>
    </w:p>
    <w:p>
      <w:pPr>
        <w:keepNext w:val="0"/>
        <w:keepLines w:val="0"/>
        <w:widowControl/>
        <w:spacing w:before="0" w:after="60" w:line="252" w:lineRule="auto"/>
      </w:pPr>
      <w:r>
        <w:rPr>
          <w:rFonts w:ascii="Lato" w:hAnsi="Lato"/>
          <w:b/>
          <w:i w:val="0"/>
          <w:color w:val="0F5961"/>
          <w:sz w:val="17"/>
        </w:rPr>
        <w:t xml:space="preserve">[C6] </w:t>
      </w:r>
      <w:r>
        <w:rPr>
          <w:rFonts w:ascii="Inter" w:hAnsi="Inter"/>
          <w:b/>
          <w:i w:val="0"/>
          <w:color w:val="1E2933"/>
          <w:sz w:val="17"/>
        </w:rPr>
        <w:t xml:space="preserve">Trust-Minimized Verification and Data Generation. </w:t>
      </w:r>
      <w:r>
        <w:rPr>
          <w:rFonts w:ascii="Inter" w:hAnsi="Inter"/>
          <w:b w:val="0"/>
          <w:i w:val="0"/>
          <w:color w:val="5A6872"/>
          <w:sz w:val="16"/>
        </w:rPr>
        <w:t>Protected exam identity, role-separated entropy and same mandatory pack for every eligible candidate.</w:t>
      </w:r>
    </w:p>
    <w:p>
      <w:pPr>
        <w:keepNext w:val="0"/>
        <w:keepLines w:val="0"/>
        <w:widowControl/>
        <w:spacing w:before="0" w:after="60" w:line="252" w:lineRule="auto"/>
      </w:pPr>
      <w:r>
        <w:rPr>
          <w:rFonts w:ascii="Lato" w:hAnsi="Lato"/>
          <w:b/>
          <w:i w:val="0"/>
          <w:color w:val="0F5961"/>
          <w:sz w:val="17"/>
        </w:rPr>
        <w:t xml:space="preserve">[C7] </w:t>
      </w:r>
      <w:r>
        <w:rPr>
          <w:rFonts w:ascii="Inter" w:hAnsi="Inter"/>
          <w:b/>
          <w:i w:val="0"/>
          <w:color w:val="1E2933"/>
          <w:sz w:val="17"/>
        </w:rPr>
        <w:t xml:space="preserve">Scoring.md : Lean Emission Scoring &amp; Challenge Score Bank. </w:t>
      </w:r>
      <w:r>
        <w:rPr>
          <w:rFonts w:ascii="Inter" w:hAnsi="Inter"/>
          <w:b w:val="0"/>
          <w:i w:val="0"/>
          <w:color w:val="5A6872"/>
          <w:sz w:val="16"/>
        </w:rPr>
        <w:t>Hard-gate and soft-score runtime semantics; current A5 evidence is fixture-only.</w:t>
      </w:r>
    </w:p>
    <w:p>
      <w:pPr>
        <w:keepNext w:val="0"/>
        <w:keepLines w:val="0"/>
        <w:widowControl/>
        <w:spacing w:before="0" w:after="60" w:line="252" w:lineRule="auto"/>
      </w:pPr>
      <w:r>
        <w:rPr>
          <w:rFonts w:ascii="Lato" w:hAnsi="Lato"/>
          <w:b/>
          <w:i w:val="0"/>
          <w:color w:val="0F5961"/>
          <w:sz w:val="17"/>
        </w:rPr>
        <w:t xml:space="preserve">[C8] </w:t>
      </w:r>
      <w:r>
        <w:rPr>
          <w:rFonts w:ascii="Inter" w:hAnsi="Inter"/>
          <w:b/>
          <w:i w:val="0"/>
          <w:color w:val="1E2933"/>
          <w:sz w:val="17"/>
        </w:rPr>
        <w:t xml:space="preserve">Carbon Product Qualification Evidence Specification. </w:t>
      </w:r>
      <w:r>
        <w:rPr>
          <w:rFonts w:ascii="Inter" w:hAnsi="Inter"/>
          <w:b w:val="0"/>
          <w:i w:val="0"/>
          <w:color w:val="5A6872"/>
          <w:sz w:val="16"/>
        </w:rPr>
        <w:t>Product Model Card, Product Battery Record, Qualification Record, escalation and requalification.</w:t>
      </w:r>
    </w:p>
    <w:p>
      <w:pPr>
        <w:keepNext w:val="0"/>
        <w:keepLines w:val="0"/>
        <w:widowControl/>
        <w:spacing w:before="0" w:after="60" w:line="252" w:lineRule="auto"/>
      </w:pPr>
      <w:r>
        <w:rPr>
          <w:rFonts w:ascii="Lato" w:hAnsi="Lato"/>
          <w:b/>
          <w:i w:val="0"/>
          <w:color w:val="0F5961"/>
          <w:sz w:val="17"/>
        </w:rPr>
        <w:t xml:space="preserve">[C9] </w:t>
      </w:r>
      <w:r>
        <w:rPr>
          <w:rFonts w:ascii="Inter" w:hAnsi="Inter"/>
          <w:b/>
          <w:i w:val="0"/>
          <w:color w:val="1E2933"/>
          <w:sz w:val="17"/>
        </w:rPr>
        <w:t xml:space="preserve">Carbon Physics Intelligence System. </w:t>
      </w:r>
      <w:r>
        <w:rPr>
          <w:rFonts w:ascii="Inter" w:hAnsi="Inter"/>
          <w:b w:val="0"/>
          <w:i w:val="0"/>
          <w:color w:val="5A6872"/>
          <w:sz w:val="16"/>
        </w:rPr>
        <w:t>Landscape epistemic types and separation of performance, information value and commercial value.</w:t>
      </w:r>
    </w:p>
    <w:p>
      <w:pPr>
        <w:keepNext w:val="0"/>
        <w:keepLines w:val="0"/>
        <w:widowControl/>
        <w:spacing w:before="0" w:after="60" w:line="252" w:lineRule="auto"/>
      </w:pPr>
      <w:r>
        <w:rPr>
          <w:rFonts w:ascii="Lato" w:hAnsi="Lato"/>
          <w:b/>
          <w:i w:val="0"/>
          <w:color w:val="0F5961"/>
          <w:sz w:val="17"/>
        </w:rPr>
        <w:t xml:space="preserve">[C10] </w:t>
      </w:r>
      <w:r>
        <w:rPr>
          <w:rFonts w:ascii="Inter" w:hAnsi="Inter"/>
          <w:b/>
          <w:i w:val="0"/>
          <w:color w:val="1E2933"/>
          <w:sz w:val="17"/>
        </w:rPr>
        <w:t xml:space="preserve">Runtime Julia Reference Capability. </w:t>
      </w:r>
      <w:r>
        <w:rPr>
          <w:rFonts w:ascii="Inter" w:hAnsi="Inter"/>
          <w:b w:val="0"/>
          <w:i w:val="0"/>
          <w:color w:val="5A6872"/>
          <w:sz w:val="16"/>
        </w:rPr>
        <w:t>Julia/SciML as a Challenge-bound computational instrument rather than a universal truth oracle.</w:t>
      </w:r>
    </w:p>
    <w:p>
      <w:pPr>
        <w:keepNext w:val="0"/>
        <w:keepLines w:val="0"/>
        <w:widowControl/>
        <w:spacing w:before="0" w:after="60" w:line="252" w:lineRule="auto"/>
      </w:pPr>
      <w:r>
        <w:rPr>
          <w:rFonts w:ascii="Lato" w:hAnsi="Lato"/>
          <w:b/>
          <w:i w:val="0"/>
          <w:color w:val="0F5961"/>
          <w:sz w:val="17"/>
        </w:rPr>
        <w:t xml:space="preserve">[C11] </w:t>
      </w:r>
      <w:r>
        <w:rPr>
          <w:rFonts w:ascii="Inter" w:hAnsi="Inter"/>
          <w:b/>
          <w:i w:val="0"/>
          <w:color w:val="1E2933"/>
          <w:sz w:val="17"/>
        </w:rPr>
        <w:t xml:space="preserve">Carbon Science and Research source pack README. </w:t>
      </w:r>
      <w:r>
        <w:rPr>
          <w:rFonts w:ascii="Inter" w:hAnsi="Inter"/>
          <w:b w:val="0"/>
          <w:i w:val="0"/>
          <w:color w:val="5A6872"/>
          <w:sz w:val="16"/>
        </w:rPr>
        <w:t>Source repository, branch and snapshot identity.</w:t>
      </w:r>
    </w:p>
    <w:p>
      <w:pPr>
        <w:pStyle w:val="Heading2"/>
        <w:keepNext/>
        <w:keepLines w:val="0"/>
        <w:widowControl/>
        <w:spacing w:before="140" w:after="80" w:line="240" w:lineRule="auto"/>
      </w:pPr>
      <w:r>
        <w:rPr>
          <w:rFonts w:ascii="Lato" w:hAnsi="Lato"/>
          <w:b/>
          <w:i w:val="0"/>
          <w:color w:val="19344A"/>
          <w:sz w:val="24"/>
        </w:rPr>
        <w:t>12.2 External scientific and technical sources</w:t>
      </w:r>
    </w:p>
    <w:p>
      <w:pPr>
        <w:keepNext w:val="0"/>
        <w:keepLines w:val="0"/>
        <w:widowControl/>
        <w:spacing w:before="0" w:after="64" w:line="247" w:lineRule="auto"/>
      </w:pPr>
      <w:r>
        <w:rPr>
          <w:rFonts w:ascii="Lato" w:hAnsi="Lato"/>
          <w:b/>
          <w:i w:val="0"/>
          <w:color w:val="2C5F8A"/>
          <w:sz w:val="16"/>
        </w:rPr>
        <w:t xml:space="preserve">[E1] </w:t>
      </w:r>
      <w:r>
        <w:rPr>
          <w:rFonts w:ascii="Inter" w:hAnsi="Inter"/>
          <w:b w:val="0"/>
          <w:i w:val="0"/>
          <w:color w:val="1E2933"/>
          <w:sz w:val="16"/>
        </w:rPr>
        <w:t xml:space="preserve">P. J. Roache, “Code Verification by the Method of Manufactured Solutions,” Journal of Fluids Engineering 124(1), 2002. DOI 10.1115/1.1436090. </w:t>
      </w:r>
      <w:r>
        <w:rPr>
          <w:rFonts w:ascii="Inter" w:hAnsi="Inter"/>
          <w:b w:val="0"/>
          <w:i/>
          <w:color w:val="5A6872"/>
          <w:sz w:val="16"/>
        </w:rPr>
        <w:t xml:space="preserve">[Peer-reviewed] </w:t>
      </w:r>
      <w:hyperlink r:id="rId15">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 </w:t>
      </w:r>
      <w:r>
        <w:rPr>
          <w:rFonts w:ascii="Inter" w:hAnsi="Inter"/>
          <w:b w:val="0"/>
          <w:i w:val="0"/>
          <w:color w:val="1E2933"/>
          <w:sz w:val="16"/>
        </w:rPr>
        <w:t xml:space="preserve">K. Salari and P. Knupp, “Code Verification by the Method of Manufactured Solutions,” SAND2000-1444, Sandia National Laboratories, 2000. DOI 10.2172/759450. </w:t>
      </w:r>
      <w:r>
        <w:rPr>
          <w:rFonts w:ascii="Inter" w:hAnsi="Inter"/>
          <w:b w:val="0"/>
          <w:i/>
          <w:color w:val="5A6872"/>
          <w:sz w:val="16"/>
        </w:rPr>
        <w:t xml:space="preserve">[Official technical report] </w:t>
      </w:r>
      <w:hyperlink r:id="rId16">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 </w:t>
      </w:r>
      <w:r>
        <w:rPr>
          <w:rFonts w:ascii="Inter" w:hAnsi="Inter"/>
          <w:b w:val="0"/>
          <w:i w:val="0"/>
          <w:color w:val="1E2933"/>
          <w:sz w:val="16"/>
        </w:rPr>
        <w:t xml:space="preserve">U.S. FDA, “Method of Manufactured Solutions Code Verification Source Term Generation Tool,” RST24CM02.01, 2024. </w:t>
      </w:r>
      <w:r>
        <w:rPr>
          <w:rFonts w:ascii="Inter" w:hAnsi="Inter"/>
          <w:b w:val="0"/>
          <w:i/>
          <w:color w:val="5A6872"/>
          <w:sz w:val="16"/>
        </w:rPr>
        <w:t xml:space="preserve">[Official tool and guidance] </w:t>
      </w:r>
      <w:hyperlink r:id="rId17">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[E4] </w:t>
      </w:r>
      <w:r>
        <w:rPr>
          <w:rFonts w:ascii="Inter" w:hAnsi="Inter"/>
          <w:b w:val="0"/>
          <w:i w:val="0"/>
          <w:color w:val="1E2933"/>
          <w:sz w:val="16"/>
        </w:rPr>
        <w:t xml:space="preserve">S. Moini-Yekta et al., “Verification and Validation Studies for the LAVA CFD Solver,” NASA, 2013. </w:t>
      </w:r>
      <w:r>
        <w:rPr>
          <w:rFonts w:ascii="Inter" w:hAnsi="Inter"/>
          <w:b w:val="0"/>
          <w:i/>
          <w:color w:val="5A6872"/>
          <w:sz w:val="16"/>
        </w:rPr>
        <w:t xml:space="preserve">[Official NASA report] </w:t>
      </w:r>
      <w:hyperlink r:id="rId18">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[E5] </w:t>
      </w:r>
      <w:r>
        <w:rPr>
          <w:rFonts w:ascii="Inter" w:hAnsi="Inter"/>
          <w:b w:val="0"/>
          <w:i w:val="0"/>
          <w:color w:val="1E2933"/>
          <w:sz w:val="16"/>
        </w:rPr>
        <w:t xml:space="preserve">K. I. Aycock, N. Rebelo and B. A. Craven, “Method of manufactured solutions code verification of elastostatic solid mechanics problems in a commercial finite element solver,” Computers &amp; Structures 230, 2020. </w:t>
      </w:r>
      <w:r>
        <w:rPr>
          <w:rFonts w:ascii="Inter" w:hAnsi="Inter"/>
          <w:b w:val="0"/>
          <w:i/>
          <w:color w:val="5A6872"/>
          <w:sz w:val="16"/>
        </w:rPr>
        <w:t xml:space="preserve">[Peer-reviewed] </w:t>
      </w:r>
      <w:hyperlink r:id="rId19">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[E6] </w:t>
      </w:r>
      <w:r>
        <w:rPr>
          <w:rFonts w:ascii="Inter" w:hAnsi="Inter"/>
          <w:b w:val="0"/>
          <w:i w:val="0"/>
          <w:color w:val="1E2933"/>
          <w:sz w:val="16"/>
        </w:rPr>
        <w:t xml:space="preserve">E. Hasani and R. A. Ward, “Generating synthetic data for neural operators,” SMAI Journal of Computational Mathematics 11, 497–516, 2025. DOI 10.5802/smai-jcm.132. </w:t>
      </w:r>
      <w:r>
        <w:rPr>
          <w:rFonts w:ascii="Inter" w:hAnsi="Inter"/>
          <w:b w:val="0"/>
          <w:i/>
          <w:color w:val="5A6872"/>
          <w:sz w:val="16"/>
        </w:rPr>
        <w:t xml:space="preserve">[Peer-reviewed] </w:t>
      </w:r>
      <w:hyperlink r:id="rId20">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[E7] </w:t>
      </w:r>
      <w:r>
        <w:rPr>
          <w:rFonts w:ascii="Inter" w:hAnsi="Inter"/>
          <w:b w:val="0"/>
          <w:i w:val="0"/>
          <w:color w:val="1E2933"/>
          <w:sz w:val="16"/>
        </w:rPr>
        <w:t xml:space="preserve">R. Bischof et al., “HyPINO: Multi-Physics Neural Operators via HyperPINNs and the Method of Manufactured Solutions,” NeurIPS 2025. </w:t>
      </w:r>
      <w:r>
        <w:rPr>
          <w:rFonts w:ascii="Inter" w:hAnsi="Inter"/>
          <w:b w:val="0"/>
          <w:i/>
          <w:color w:val="5A6872"/>
          <w:sz w:val="16"/>
        </w:rPr>
        <w:t xml:space="preserve">[Peer-reviewed conference] </w:t>
      </w:r>
      <w:hyperlink r:id="rId21">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[E8] </w:t>
      </w:r>
      <w:r>
        <w:rPr>
          <w:rFonts w:ascii="Inter" w:hAnsi="Inter"/>
          <w:b w:val="0"/>
          <w:i w:val="0"/>
          <w:color w:val="1E2933"/>
          <w:sz w:val="16"/>
        </w:rPr>
        <w:t xml:space="preserve">A. Sojitra and O. San, “Method of Manufactured Learning for Solver-free Training of Neural Operators,” 2025. </w:t>
      </w:r>
      <w:r>
        <w:rPr>
          <w:rFonts w:ascii="Inter" w:hAnsi="Inter"/>
          <w:b w:val="0"/>
          <w:i/>
          <w:color w:val="5A6872"/>
          <w:sz w:val="16"/>
        </w:rPr>
        <w:t xml:space="preserve">[Preprint] </w:t>
      </w:r>
      <w:hyperlink r:id="rId22">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[E9] </w:t>
      </w:r>
      <w:r>
        <w:rPr>
          <w:rFonts w:ascii="Inter" w:hAnsi="Inter"/>
          <w:b w:val="0"/>
          <w:i w:val="0"/>
          <w:color w:val="1E2933"/>
          <w:sz w:val="16"/>
        </w:rPr>
        <w:t xml:space="preserve">Z. Li et al., “Physics-Informed Neural Operator for Learning Partial Differential Equations,” ACM/JDS 1(3), 2024. </w:t>
      </w:r>
      <w:r>
        <w:rPr>
          <w:rFonts w:ascii="Inter" w:hAnsi="Inter"/>
          <w:b w:val="0"/>
          <w:i/>
          <w:color w:val="5A6872"/>
          <w:sz w:val="16"/>
        </w:rPr>
        <w:t xml:space="preserve">[Peer-reviewed] </w:t>
      </w:r>
      <w:hyperlink r:id="rId23">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[E10] </w:t>
      </w:r>
      <w:r>
        <w:rPr>
          <w:rFonts w:ascii="Inter" w:hAnsi="Inter"/>
          <w:b w:val="0"/>
          <w:i w:val="0"/>
          <w:color w:val="1E2933"/>
          <w:sz w:val="16"/>
        </w:rPr>
        <w:t xml:space="preserve">K. Azizzadenesheli et al., “Neural operators for accelerating scientific simulations and design,” Nature Reviews Physics 6, 320–328, 2024. DOI 10.1038/s42254-024-00712-5. </w:t>
      </w:r>
      <w:r>
        <w:rPr>
          <w:rFonts w:ascii="Inter" w:hAnsi="Inter"/>
          <w:b w:val="0"/>
          <w:i/>
          <w:color w:val="5A6872"/>
          <w:sz w:val="16"/>
        </w:rPr>
        <w:t xml:space="preserve">[Peer-reviewed review] </w:t>
      </w:r>
      <w:hyperlink r:id="rId24">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[E11] </w:t>
      </w:r>
      <w:r>
        <w:rPr>
          <w:rFonts w:ascii="Inter" w:hAnsi="Inter"/>
          <w:b w:val="0"/>
          <w:i w:val="0"/>
          <w:color w:val="1E2933"/>
          <w:sz w:val="16"/>
        </w:rPr>
        <w:t xml:space="preserve">C. Wang et al., “Beyond Closure Models: Learning Chaotic-Systems via Physics-Informed Neural Operators,” 2024. </w:t>
      </w:r>
      <w:r>
        <w:rPr>
          <w:rFonts w:ascii="Inter" w:hAnsi="Inter"/>
          <w:b w:val="0"/>
          <w:i/>
          <w:color w:val="5A6872"/>
          <w:sz w:val="16"/>
        </w:rPr>
        <w:t xml:space="preserve">[Preprint / conference version] </w:t>
      </w:r>
      <w:hyperlink r:id="rId25">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[E12] </w:t>
      </w:r>
      <w:r>
        <w:rPr>
          <w:rFonts w:ascii="Inter" w:hAnsi="Inter"/>
          <w:b w:val="0"/>
          <w:i w:val="0"/>
          <w:color w:val="1E2933"/>
          <w:sz w:val="16"/>
        </w:rPr>
        <w:t xml:space="preserve">Z. Li et al., “Scale-Consistent Learning for Partial Differential Equations,” 2025. </w:t>
      </w:r>
      <w:r>
        <w:rPr>
          <w:rFonts w:ascii="Inter" w:hAnsi="Inter"/>
          <w:b w:val="0"/>
          <w:i/>
          <w:color w:val="5A6872"/>
          <w:sz w:val="16"/>
        </w:rPr>
        <w:t xml:space="preserve">[Preprint] </w:t>
      </w:r>
      <w:hyperlink r:id="rId26">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[E13] </w:t>
      </w:r>
      <w:r>
        <w:rPr>
          <w:rFonts w:ascii="Inter" w:hAnsi="Inter"/>
          <w:b w:val="0"/>
          <w:i w:val="0"/>
          <w:color w:val="1E2933"/>
          <w:sz w:val="16"/>
        </w:rPr>
        <w:t xml:space="preserve">M. S. Eshaghi et al., “NOWS: Neural Operator Warm Starts for Accelerating Iterative Solvers,” 2025/2026. </w:t>
      </w:r>
      <w:r>
        <w:rPr>
          <w:rFonts w:ascii="Inter" w:hAnsi="Inter"/>
          <w:b w:val="0"/>
          <w:i/>
          <w:color w:val="5A6872"/>
          <w:sz w:val="16"/>
        </w:rPr>
        <w:t xml:space="preserve">[Preprint and journal publication] </w:t>
      </w:r>
      <w:hyperlink r:id="rId27">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[E14] </w:t>
      </w:r>
      <w:r>
        <w:rPr>
          <w:rFonts w:ascii="Inter" w:hAnsi="Inter"/>
          <w:b w:val="0"/>
          <w:i w:val="0"/>
          <w:color w:val="1E2933"/>
          <w:sz w:val="16"/>
        </w:rPr>
        <w:t xml:space="preserve">J. Oh et al., “Spectrally Safe Neural Operator Warm-Starts for Large-Scale Newton Solvers,” 2026. </w:t>
      </w:r>
      <w:r>
        <w:rPr>
          <w:rFonts w:ascii="Inter" w:hAnsi="Inter"/>
          <w:b w:val="0"/>
          <w:i/>
          <w:color w:val="5A6872"/>
          <w:sz w:val="16"/>
        </w:rPr>
        <w:t xml:space="preserve">[Preprint] </w:t>
      </w:r>
      <w:hyperlink r:id="rId28">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[E15] </w:t>
      </w:r>
      <w:r>
        <w:rPr>
          <w:rFonts w:ascii="Inter" w:hAnsi="Inter"/>
          <w:b w:val="0"/>
          <w:i w:val="0"/>
          <w:color w:val="1E2933"/>
          <w:sz w:val="16"/>
        </w:rPr>
        <w:t xml:space="preserve">E. Zhang et al., “A Hybrid Iterative Numerical Transferable Solver (HINTS) for PDEs Based on Deep Operator Network and Relaxation Methods,” 2022. </w:t>
      </w:r>
      <w:r>
        <w:rPr>
          <w:rFonts w:ascii="Inter" w:hAnsi="Inter"/>
          <w:b w:val="0"/>
          <w:i/>
          <w:color w:val="5A6872"/>
          <w:sz w:val="16"/>
        </w:rPr>
        <w:t xml:space="preserve">[Preprint / peer-reviewed line] </w:t>
      </w:r>
      <w:hyperlink r:id="rId29">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[E16] </w:t>
      </w:r>
      <w:r>
        <w:rPr>
          <w:rFonts w:ascii="Inter" w:hAnsi="Inter"/>
          <w:b w:val="0"/>
          <w:i w:val="0"/>
          <w:color w:val="1E2933"/>
          <w:sz w:val="16"/>
        </w:rPr>
        <w:t xml:space="preserve">A. Kahana et al., “On the Geometry Transferability of the Hybrid Iterative Numerical Solver for Differential Equations,” 2022. </w:t>
      </w:r>
      <w:r>
        <w:rPr>
          <w:rFonts w:ascii="Inter" w:hAnsi="Inter"/>
          <w:b w:val="0"/>
          <w:i/>
          <w:color w:val="5A6872"/>
          <w:sz w:val="16"/>
        </w:rPr>
        <w:t xml:space="preserve">[Preprint] </w:t>
      </w:r>
      <w:hyperlink r:id="rId30">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[E17] </w:t>
      </w:r>
      <w:r>
        <w:rPr>
          <w:rFonts w:ascii="Inter" w:hAnsi="Inter"/>
          <w:b w:val="0"/>
          <w:i w:val="0"/>
          <w:color w:val="1E2933"/>
          <w:sz w:val="16"/>
        </w:rPr>
        <w:t xml:space="preserve">“When can a neural operator replace a coarse solve? Architectural principles for two-level preconditioning,” 2026. </w:t>
      </w:r>
      <w:r>
        <w:rPr>
          <w:rFonts w:ascii="Inter" w:hAnsi="Inter"/>
          <w:b w:val="0"/>
          <w:i/>
          <w:color w:val="5A6872"/>
          <w:sz w:val="16"/>
        </w:rPr>
        <w:t xml:space="preserve">[Preprint] </w:t>
      </w:r>
      <w:hyperlink r:id="rId31">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[E18] </w:t>
      </w:r>
      <w:r>
        <w:rPr>
          <w:rFonts w:ascii="Inter" w:hAnsi="Inter"/>
          <w:b w:val="0"/>
          <w:i w:val="0"/>
          <w:color w:val="1E2933"/>
          <w:sz w:val="16"/>
        </w:rPr>
        <w:t xml:space="preserve">“Operator Learning with Domain Decomposition for Partial Differential Equations,” 2025/2026. </w:t>
      </w:r>
      <w:r>
        <w:rPr>
          <w:rFonts w:ascii="Inter" w:hAnsi="Inter"/>
          <w:b w:val="0"/>
          <w:i/>
          <w:color w:val="5A6872"/>
          <w:sz w:val="16"/>
        </w:rPr>
        <w:t xml:space="preserve">[Preprint] </w:t>
      </w:r>
      <w:hyperlink r:id="rId32">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[E19] </w:t>
      </w:r>
      <w:r>
        <w:rPr>
          <w:rFonts w:ascii="Inter" w:hAnsi="Inter"/>
          <w:b w:val="0"/>
          <w:i w:val="0"/>
          <w:color w:val="1E2933"/>
          <w:sz w:val="16"/>
        </w:rPr>
        <w:t xml:space="preserve">“Neural-Operator Element Method: Efficient and Scalable Solution of PDEs on Complex Domains,” 2025. </w:t>
      </w:r>
      <w:r>
        <w:rPr>
          <w:rFonts w:ascii="Inter" w:hAnsi="Inter"/>
          <w:b w:val="0"/>
          <w:i/>
          <w:color w:val="5A6872"/>
          <w:sz w:val="16"/>
        </w:rPr>
        <w:t xml:space="preserve">[Preprint] </w:t>
      </w:r>
      <w:hyperlink r:id="rId33">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[E20] </w:t>
      </w:r>
      <w:r>
        <w:rPr>
          <w:rFonts w:ascii="Inter" w:hAnsi="Inter"/>
          <w:b w:val="0"/>
          <w:i w:val="0"/>
          <w:color w:val="1E2933"/>
          <w:sz w:val="16"/>
        </w:rPr>
        <w:t xml:space="preserve">NIST, Phase Field Community Hub benchmark suite, including manufactured-solution verification problems. </w:t>
      </w:r>
      <w:r>
        <w:rPr>
          <w:rFonts w:ascii="Inter" w:hAnsi="Inter"/>
          <w:b w:val="0"/>
          <w:i/>
          <w:color w:val="5A6872"/>
          <w:sz w:val="16"/>
        </w:rPr>
        <w:t xml:space="preserve">[Official benchmark resource] </w:t>
      </w:r>
      <w:hyperlink r:id="rId34">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[E21] </w:t>
      </w:r>
      <w:r>
        <w:rPr>
          <w:rFonts w:ascii="Inter" w:hAnsi="Inter"/>
          <w:b w:val="0"/>
          <w:i w:val="0"/>
          <w:color w:val="1E2933"/>
          <w:sz w:val="16"/>
        </w:rPr>
        <w:t xml:space="preserve">NASA, Turbulence Modeling Resource. </w:t>
      </w:r>
      <w:r>
        <w:rPr>
          <w:rFonts w:ascii="Inter" w:hAnsi="Inter"/>
          <w:b w:val="0"/>
          <w:i/>
          <w:color w:val="5A6872"/>
          <w:sz w:val="16"/>
        </w:rPr>
        <w:t xml:space="preserve">[Official verification, validation and DNS/LES resource] </w:t>
      </w:r>
      <w:hyperlink r:id="rId35">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[E22] </w:t>
      </w:r>
      <w:r>
        <w:rPr>
          <w:rFonts w:ascii="Inter" w:hAnsi="Inter"/>
          <w:b w:val="0"/>
          <w:i w:val="0"/>
          <w:color w:val="1E2933"/>
          <w:sz w:val="16"/>
        </w:rPr>
        <w:t xml:space="preserve">MFEM, official finite-element examples and miniapps. </w:t>
      </w:r>
      <w:r>
        <w:rPr>
          <w:rFonts w:ascii="Inter" w:hAnsi="Inter"/>
          <w:b w:val="0"/>
          <w:i/>
          <w:color w:val="5A6872"/>
          <w:sz w:val="16"/>
        </w:rPr>
        <w:t xml:space="preserve">[Official reproducible software documentation] </w:t>
      </w:r>
      <w:hyperlink r:id="rId36">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[E23] </w:t>
      </w:r>
      <w:r>
        <w:rPr>
          <w:rFonts w:ascii="Inter" w:hAnsi="Inter"/>
          <w:b w:val="0"/>
          <w:i w:val="0"/>
          <w:color w:val="1E2933"/>
          <w:sz w:val="16"/>
        </w:rPr>
        <w:t xml:space="preserve">Clawpack Riemann Book, exact and approximate Riemann solvers for hyperbolic systems. </w:t>
      </w:r>
      <w:r>
        <w:rPr>
          <w:rFonts w:ascii="Inter" w:hAnsi="Inter"/>
          <w:b w:val="0"/>
          <w:i/>
          <w:color w:val="5A6872"/>
          <w:sz w:val="16"/>
        </w:rPr>
        <w:t xml:space="preserve">[Official open computational text] </w:t>
      </w:r>
      <w:hyperlink r:id="rId37">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[E24] </w:t>
      </w:r>
      <w:r>
        <w:rPr>
          <w:rFonts w:ascii="Inter" w:hAnsi="Inter"/>
          <w:b w:val="0"/>
          <w:i w:val="0"/>
          <w:color w:val="1E2933"/>
          <w:sz w:val="16"/>
        </w:rPr>
        <w:t xml:space="preserve">MOOSE Framework, verification tests and multiphysics examples. </w:t>
      </w:r>
      <w:r>
        <w:rPr>
          <w:rFonts w:ascii="Inter" w:hAnsi="Inter"/>
          <w:b w:val="0"/>
          <w:i/>
          <w:color w:val="5A6872"/>
          <w:sz w:val="16"/>
        </w:rPr>
        <w:t xml:space="preserve">[Official reproducible software documentation] </w:t>
      </w:r>
      <w:hyperlink r:id="rId38">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[E25] </w:t>
      </w:r>
      <w:r>
        <w:rPr>
          <w:rFonts w:ascii="Inter" w:hAnsi="Inter"/>
          <w:b w:val="0"/>
          <w:i w:val="0"/>
          <w:color w:val="1E2933"/>
          <w:sz w:val="16"/>
        </w:rPr>
        <w:t xml:space="preserve">PeleC, verification and validation documentation for compressible reacting flow. </w:t>
      </w:r>
      <w:r>
        <w:rPr>
          <w:rFonts w:ascii="Inter" w:hAnsi="Inter"/>
          <w:b w:val="0"/>
          <w:i/>
          <w:color w:val="5A6872"/>
          <w:sz w:val="16"/>
        </w:rPr>
        <w:t xml:space="preserve">[Official reproducible software documentation] </w:t>
      </w:r>
      <w:hyperlink r:id="rId39">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[E26] </w:t>
      </w:r>
      <w:r>
        <w:rPr>
          <w:rFonts w:ascii="Inter" w:hAnsi="Inter"/>
          <w:b w:val="0"/>
          <w:i w:val="0"/>
          <w:color w:val="1E2933"/>
          <w:sz w:val="16"/>
        </w:rPr>
        <w:t xml:space="preserve">PyBaMM, official battery-model documentation and validation examples. </w:t>
      </w:r>
      <w:r>
        <w:rPr>
          <w:rFonts w:ascii="Inter" w:hAnsi="Inter"/>
          <w:b w:val="0"/>
          <w:i/>
          <w:color w:val="5A6872"/>
          <w:sz w:val="16"/>
        </w:rPr>
        <w:t xml:space="preserve">[Official reproducible software documentation] </w:t>
      </w:r>
      <w:hyperlink r:id="rId40">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[E27] </w:t>
      </w:r>
      <w:r>
        <w:rPr>
          <w:rFonts w:ascii="Inter" w:hAnsi="Inter"/>
          <w:b w:val="0"/>
          <w:i w:val="0"/>
          <w:color w:val="1E2933"/>
          <w:sz w:val="16"/>
        </w:rPr>
        <w:t xml:space="preserve">P. Vadasz, “Analytical Solution to Nonlinear Thermal Diffusion: Kirchhoff versus Cole-Hopf Transformations,” Journal of Heat Transfer 132, 2010. DOI 10.1115/1.4002325. </w:t>
      </w:r>
      <w:r>
        <w:rPr>
          <w:rFonts w:ascii="Inter" w:hAnsi="Inter"/>
          <w:b w:val="0"/>
          <w:i/>
          <w:color w:val="5A6872"/>
          <w:sz w:val="16"/>
        </w:rPr>
        <w:t xml:space="preserve">[Peer-reviewed] </w:t>
      </w:r>
      <w:hyperlink r:id="rId41">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[E28] </w:t>
      </w:r>
      <w:r>
        <w:rPr>
          <w:rFonts w:ascii="Inter" w:hAnsi="Inter"/>
          <w:b w:val="0"/>
          <w:i w:val="0"/>
          <w:color w:val="1E2933"/>
          <w:sz w:val="16"/>
        </w:rPr>
        <w:t xml:space="preserve">Recent extended-Graetz analytical/semi-analytical literature for thermally developing laminar flow and conjugate heat transfer, 2025. </w:t>
      </w:r>
      <w:r>
        <w:rPr>
          <w:rFonts w:ascii="Inter" w:hAnsi="Inter"/>
          <w:b w:val="0"/>
          <w:i/>
          <w:color w:val="5A6872"/>
          <w:sz w:val="16"/>
        </w:rPr>
        <w:t xml:space="preserve">[Peer-reviewed literature] </w:t>
      </w:r>
      <w:hyperlink r:id="rId42">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[E29] </w:t>
      </w:r>
      <w:r>
        <w:rPr>
          <w:rFonts w:ascii="Inter" w:hAnsi="Inter"/>
          <w:b w:val="0"/>
          <w:i w:val="0"/>
          <w:color w:val="1E2933"/>
          <w:sz w:val="16"/>
        </w:rPr>
        <w:t xml:space="preserve">M. Ramšak et al., “Conjugate heat transfer of backward-facing step flow,” International Journal of Heat and Mass Transfer 84, 2015. </w:t>
      </w:r>
      <w:r>
        <w:rPr>
          <w:rFonts w:ascii="Inter" w:hAnsi="Inter"/>
          <w:b w:val="0"/>
          <w:i/>
          <w:color w:val="5A6872"/>
          <w:sz w:val="16"/>
        </w:rPr>
        <w:t xml:space="preserve">[Peer-reviewed benchmark] </w:t>
      </w:r>
      <w:hyperlink r:id="rId43">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[E30] </w:t>
      </w:r>
      <w:r>
        <w:rPr>
          <w:rFonts w:ascii="Inter" w:hAnsi="Inter"/>
          <w:b w:val="0"/>
          <w:i w:val="0"/>
          <w:color w:val="1E2933"/>
          <w:sz w:val="16"/>
        </w:rPr>
        <w:t xml:space="preserve">M. Majic et al., “Numerically stable formulation of Mie theory for an emitter close to a sphere,” Applied Optics 59, 2020. </w:t>
      </w:r>
      <w:r>
        <w:rPr>
          <w:rFonts w:ascii="Inter" w:hAnsi="Inter"/>
          <w:b w:val="0"/>
          <w:i/>
          <w:color w:val="5A6872"/>
          <w:sz w:val="16"/>
        </w:rPr>
        <w:t xml:space="preserve">[Peer-reviewed exact-solution implementation] </w:t>
      </w:r>
      <w:hyperlink r:id="rId44">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[E31] </w:t>
      </w:r>
      <w:r>
        <w:rPr>
          <w:rFonts w:ascii="Inter" w:hAnsi="Inter"/>
          <w:b w:val="0"/>
          <w:i w:val="0"/>
          <w:color w:val="1E2933"/>
          <w:sz w:val="16"/>
        </w:rPr>
        <w:t xml:space="preserve">Manufactured-solution literature for coupled fluid-structure interaction and interface verification. </w:t>
      </w:r>
      <w:r>
        <w:rPr>
          <w:rFonts w:ascii="Inter" w:hAnsi="Inter"/>
          <w:b w:val="0"/>
          <w:i/>
          <w:color w:val="5A6872"/>
          <w:sz w:val="16"/>
        </w:rPr>
        <w:t xml:space="preserve">[Primary research line] </w:t>
      </w:r>
      <w:hyperlink r:id="rId45">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[E32] </w:t>
      </w:r>
      <w:r>
        <w:rPr>
          <w:rFonts w:ascii="Inter" w:hAnsi="Inter"/>
          <w:b w:val="0"/>
          <w:i w:val="0"/>
          <w:color w:val="1E2933"/>
          <w:sz w:val="16"/>
        </w:rPr>
        <w:t xml:space="preserve">Analytic Hartmann-flow and canonical MHD benchmark literature. </w:t>
      </w:r>
      <w:r>
        <w:rPr>
          <w:rFonts w:ascii="Inter" w:hAnsi="Inter"/>
          <w:b w:val="0"/>
          <w:i/>
          <w:color w:val="5A6872"/>
          <w:sz w:val="16"/>
        </w:rPr>
        <w:t xml:space="preserve">[Primary research line] </w:t>
      </w:r>
      <w:hyperlink r:id="rId46">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[E33] </w:t>
      </w:r>
      <w:r>
        <w:rPr>
          <w:rFonts w:ascii="Inter" w:hAnsi="Inter"/>
          <w:b w:val="0"/>
          <w:i w:val="0"/>
          <w:color w:val="1E2933"/>
          <w:sz w:val="16"/>
        </w:rPr>
        <w:t xml:space="preserve">N. McGreivy and A. Hakim, “Weak baselines and reporting biases lead to overoptimism in machine learning for fluid-related partial differential equations,” Nature Machine Intelligence 6, 1256–1269, 2024. </w:t>
      </w:r>
      <w:r>
        <w:rPr>
          <w:rFonts w:ascii="Inter" w:hAnsi="Inter"/>
          <w:b w:val="0"/>
          <w:i/>
          <w:color w:val="5A6872"/>
          <w:sz w:val="16"/>
        </w:rPr>
        <w:t xml:space="preserve">[Peer-reviewed benchmark critique] </w:t>
      </w:r>
      <w:hyperlink r:id="rId47">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[E34] </w:t>
      </w:r>
      <w:r>
        <w:rPr>
          <w:rFonts w:ascii="Inter" w:hAnsi="Inter"/>
          <w:b w:val="0"/>
          <w:i w:val="0"/>
          <w:color w:val="1E2933"/>
          <w:sz w:val="16"/>
        </w:rPr>
        <w:t xml:space="preserve">M. Takamoto et al., “PDEBench: An Extensive Benchmark for Scientific Machine Learning,” NeurIPS Datasets and Benchmarks, 2022. </w:t>
      </w:r>
      <w:r>
        <w:rPr>
          <w:rFonts w:ascii="Inter" w:hAnsi="Inter"/>
          <w:b w:val="0"/>
          <w:i/>
          <w:color w:val="5A6872"/>
          <w:sz w:val="16"/>
        </w:rPr>
        <w:t xml:space="preserve">[Peer-reviewed benchmark] </w:t>
      </w:r>
      <w:hyperlink r:id="rId48">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[E35] </w:t>
      </w:r>
      <w:r>
        <w:rPr>
          <w:rFonts w:ascii="Inter" w:hAnsi="Inter"/>
          <w:b w:val="0"/>
          <w:i w:val="0"/>
          <w:color w:val="1E2933"/>
          <w:sz w:val="16"/>
        </w:rPr>
        <w:t xml:space="preserve">Multiphysics benchmark efforts for learned PDE solvers, 2025. </w:t>
      </w:r>
      <w:r>
        <w:rPr>
          <w:rFonts w:ascii="Inter" w:hAnsi="Inter"/>
          <w:b w:val="0"/>
          <w:i/>
          <w:color w:val="5A6872"/>
          <w:sz w:val="16"/>
        </w:rPr>
        <w:t xml:space="preserve">[Preprint / benchmark] </w:t>
      </w:r>
      <w:hyperlink r:id="rId49">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[E36] </w:t>
      </w:r>
      <w:r>
        <w:rPr>
          <w:rFonts w:ascii="Inter" w:hAnsi="Inter"/>
          <w:b w:val="0"/>
          <w:i w:val="0"/>
          <w:color w:val="1E2933"/>
          <w:sz w:val="16"/>
        </w:rPr>
        <w:t xml:space="preserve">Z. Fang, S. Wang and P. Perdikaris, “Learning Only on Boundaries: a Physics-Informed Neural Operator for Complex Geometries,” 2023/2024. </w:t>
      </w:r>
      <w:r>
        <w:rPr>
          <w:rFonts w:ascii="Inter" w:hAnsi="Inter"/>
          <w:b w:val="0"/>
          <w:i/>
          <w:color w:val="5A6872"/>
          <w:sz w:val="16"/>
        </w:rPr>
        <w:t xml:space="preserve">[Peer-reviewed / preprint] </w:t>
      </w:r>
      <w:hyperlink r:id="rId50">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[E37] </w:t>
      </w:r>
      <w:r>
        <w:rPr>
          <w:rFonts w:ascii="Inter" w:hAnsi="Inter"/>
          <w:b w:val="0"/>
          <w:i w:val="0"/>
          <w:color w:val="1E2933"/>
          <w:sz w:val="16"/>
        </w:rPr>
        <w:t xml:space="preserve">Z. Liang et al., “Hybrid Iterative Neural Low-Regularity Integrator for Nonlinear Dispersive PDEs,” 2026. </w:t>
      </w:r>
      <w:r>
        <w:rPr>
          <w:rFonts w:ascii="Inter" w:hAnsi="Inter"/>
          <w:b w:val="0"/>
          <w:i/>
          <w:color w:val="5A6872"/>
          <w:sz w:val="16"/>
        </w:rPr>
        <w:t xml:space="preserve">[Preprint] </w:t>
      </w:r>
      <w:hyperlink r:id="rId51">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[E38] </w:t>
      </w:r>
      <w:r>
        <w:rPr>
          <w:rFonts w:ascii="Inter" w:hAnsi="Inter"/>
          <w:b w:val="0"/>
          <w:i w:val="0"/>
          <w:color w:val="1E2933"/>
          <w:sz w:val="16"/>
        </w:rPr>
        <w:t xml:space="preserve">D. Kim and W. Gillijns, “Physics-Informed Neural Operator for Warm-Starting Background-Decomposed and Preconditioned PSFD: Enabling Scalable 3-D EUV Mask Simulation,” 2026. </w:t>
      </w:r>
      <w:r>
        <w:rPr>
          <w:rFonts w:ascii="Inter" w:hAnsi="Inter"/>
          <w:b w:val="0"/>
          <w:i/>
          <w:color w:val="5A6872"/>
          <w:sz w:val="16"/>
        </w:rPr>
        <w:t xml:space="preserve">[Preprint] </w:t>
      </w:r>
      <w:hyperlink r:id="rId52">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[E39] </w:t>
      </w:r>
      <w:r>
        <w:rPr>
          <w:rFonts w:ascii="Inter" w:hAnsi="Inter"/>
          <w:b w:val="0"/>
          <w:i w:val="0"/>
          <w:color w:val="1E2933"/>
          <w:sz w:val="16"/>
        </w:rPr>
        <w:t xml:space="preserve">U.S. FDA, “Assessing the Credibility of Computational Modeling and Simulation in Medical Device Submissions,” 2023/2024. </w:t>
      </w:r>
      <w:r>
        <w:rPr>
          <w:rFonts w:ascii="Inter" w:hAnsi="Inter"/>
          <w:b w:val="0"/>
          <w:i/>
          <w:color w:val="5A6872"/>
          <w:sz w:val="16"/>
        </w:rPr>
        <w:t xml:space="preserve">[Official risk-informed credibility guidance] </w:t>
      </w:r>
      <w:hyperlink r:id="rId53">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[E40] </w:t>
      </w:r>
      <w:r>
        <w:rPr>
          <w:rFonts w:ascii="Inter" w:hAnsi="Inter"/>
          <w:b w:val="0"/>
          <w:i w:val="0"/>
          <w:color w:val="1E2933"/>
          <w:sz w:val="16"/>
        </w:rPr>
        <w:t xml:space="preserve">MFiX documentation, Method of Manufactured Solutions and observed-order testing. </w:t>
      </w:r>
      <w:r>
        <w:rPr>
          <w:rFonts w:ascii="Inter" w:hAnsi="Inter"/>
          <w:b w:val="0"/>
          <w:i/>
          <w:color w:val="5A6872"/>
          <w:sz w:val="16"/>
        </w:rPr>
        <w:t xml:space="preserve">[Official U.S. DOE software documentation] </w:t>
      </w:r>
      <w:hyperlink r:id="rId54">
        <w:r>
          <w:rPr>
            <w:rFonts w:ascii="Inter" w:hAnsi="Inter"/>
            <w:color w:val="2C5F8A"/>
            <w:u w:val="single"/>
            <w:sz w:val="18"/>
          </w:rPr>
          <w:t>Source</w:t>
        </w:r>
      </w:hyperlink>
    </w:p>
    <w:p>
      <w:pPr>
        <w:keepNext w:val="0"/>
        <w:keepLines w:val="0"/>
        <w:widowControl/>
        <w:spacing w:before="0" w:after="64" w:line="247" w:lineRule="auto"/>
      </w:pPr>
      <w:r>
        <w:rPr>
          <w:rFonts w:ascii="Lato" w:hAnsi="Lato"/>
          <w:b/>
          <w:i w:val="0"/>
          <w:color w:val="2C5F8A"/>
          <w:sz w:val="16"/>
        </w:rPr>
        <w:t xml:space="preserve">[E41] </w:t>
      </w:r>
      <w:r>
        <w:rPr>
          <w:rFonts w:ascii="Inter" w:hAnsi="Inter"/>
          <w:b w:val="0"/>
          <w:i w:val="0"/>
          <w:color w:val="1E2933"/>
          <w:sz w:val="16"/>
        </w:rPr>
        <w:t xml:space="preserve">H. Jiang et al., “Convex Neural Energy Elements: Monolithic Finite-Element Assembly of Geometry-Parameterized Neural Operators with Stability and Error Guarantees,” 2026. </w:t>
      </w:r>
      <w:r>
        <w:rPr>
          <w:rFonts w:ascii="Inter" w:hAnsi="Inter"/>
          <w:b w:val="0"/>
          <w:i/>
          <w:color w:val="5A6872"/>
          <w:sz w:val="16"/>
        </w:rPr>
        <w:t xml:space="preserve">[Preprint] </w:t>
      </w:r>
      <w:hyperlink r:id="rId55">
        <w:r>
          <w:rPr>
            <w:rFonts w:ascii="Inter" w:hAnsi="Inter"/>
            <w:color w:val="2C5F8A"/>
            <w:u w:val="single"/>
            <w:sz w:val="18"/>
          </w:rPr>
          <w:t>Source</w:t>
        </w:r>
      </w:hyperlink>
    </w:p>
    <w:p>
      <w:pPr>
        <w:pStyle w:val="Heading2"/>
        <w:keepNext/>
        <w:keepLines w:val="0"/>
        <w:widowControl/>
        <w:spacing w:before="140" w:after="80" w:line="240" w:lineRule="auto"/>
      </w:pPr>
      <w:r>
        <w:rPr>
          <w:rFonts w:ascii="Lato" w:hAnsi="Lato"/>
          <w:b/>
          <w:i w:val="0"/>
          <w:color w:val="19344A"/>
          <w:sz w:val="24"/>
        </w:rPr>
        <w:t>12.3 Source limitations</w:t>
      </w:r>
    </w:p>
    <w:p>
      <w:pPr>
        <w:keepNext w:val="0"/>
        <w:keepLines w:val="0"/>
        <w:widowControl/>
        <w:spacing w:before="0" w:after="100" w:line="259" w:lineRule="auto"/>
      </w:pPr>
      <w:r>
        <w:rPr>
          <w:rFonts w:ascii="Inter" w:hAnsi="Inter"/>
          <w:b w:val="0"/>
          <w:i w:val="0"/>
          <w:color w:val="1E2933"/>
          <w:sz w:val="18"/>
        </w:rPr>
        <w:t>The external literature establishes methods, benchmarks and observed results in the cited regimes. It does not establish Carbon implementation status, Carbon customer demand, Carbon product qualification or transfer to a different physical population. Preprints and recent 2025–2026 methods require independent reproduction before Carbon should rely on them for a production claim.</w:t>
      </w:r>
    </w:p>
    <w:tbl>
      <w:tblPr>
        <w:tblW w:type="auto" w:w="0"/>
        <w:jc w:val="center"/>
        <w:tblLayout w:type="fixed"/>
        <w:tblLook w:firstColumn="1" w:firstRow="1" w:lastColumn="0" w:lastRow="0" w:noHBand="0" w:noVBand="1" w:val="04A0"/>
      </w:tblPr>
      <w:tblGrid>
        <w:gridCol w:w="10166"/>
      </w:tblGrid>
      <w:tr>
        <w:tc>
          <w:tcPr>
            <w:tcW w:type="dxa" w:w="10166"/>
            <w:shd w:fill="E7F4F4"/>
            <w:tcBorders>
              <w:top w:sz="8" w:val="single" w:color="177E89"/>
              <w:left w:sz="18" w:val="single" w:color="177E89"/>
              <w:bottom w:sz="8" w:val="single" w:color="177E89"/>
              <w:right w:sz="8" w:val="single" w:color="177E89"/>
            </w:tcBorders>
            <w:tcMar>
              <w:top w:w="110" w:type="dxa"/>
              <w:start w:w="140" w:type="dxa"/>
              <w:bottom w:w="110" w:type="dxa"/>
              <w:end w:w="140" w:type="dxa"/>
            </w:tcMar>
          </w:tcPr>
          <w:p>
            <w:pPr>
              <w:keepNext w:val="0"/>
              <w:keepLines w:val="0"/>
              <w:widowControl/>
              <w:spacing w:before="0" w:after="0" w:line="259" w:lineRule="auto"/>
            </w:pPr>
            <w:r>
              <w:rPr>
                <w:rFonts w:ascii="Lato" w:hAnsi="Lato"/>
                <w:b/>
                <w:i w:val="0"/>
                <w:color w:val="0F5961"/>
                <w:sz w:val="19"/>
              </w:rPr>
              <w:t xml:space="preserve">Closing rule  </w:t>
            </w:r>
            <w:r>
              <w:rPr>
                <w:rFonts w:ascii="Inter" w:hAnsi="Inter"/>
                <w:b w:val="0"/>
                <w:i w:val="0"/>
                <w:color w:val="1E2933"/>
                <w:sz w:val="18"/>
              </w:rPr>
              <w:t>Carbon should widen its physics portfolio by widening qualified reference islands, not by weakening the meaning of reference. Define the engineering job, qualify the exam, preserve non-compensable physics, compare hybrid and free-running models under common evidence, and let a Product Battery decide the bounded commercial claim.</w:t>
            </w:r>
          </w:p>
        </w:tc>
        <w:trPr>
          <w:tblHeader/>
        </w:trPr>
      </w:tr>
    </w:tbl>
    <w:p>
      <w:pPr>
        <w:spacing w:after="20"/>
      </w:pPr>
    </w:p>
    <w:sectPr w:rsidR="00FC693F" w:rsidRPr="0006063C" w:rsidSect="00034616">
      <w:pgSz w:w="12240" w:h="15840"/>
      <w:pgMar w:top="950"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i w:val="0"/>
        <w:color w:val="5A6872"/>
        <w:sz w:val="14"/>
      </w:rPr>
      <w:t xml:space="preserve">Carbon Science &amp; Research  |  Working research memo  |  Page </w:t>
    </w:r>
    <w:r>
      <w:rPr>
        <w:rFonts w:ascii="Inter" w:hAnsi="Inter"/>
        <w:b w:val="0"/>
        <w:i w:val="0"/>
        <w:color w:val="5A6872"/>
        <w:sz w:val="14"/>
      </w:rPr>
      <w:fldChar w:fldCharType="begin"/>
      <w:instrText xml:space="preserve">PAGE</w:instrText>
      <w:fldChar w:fldCharType="separate"/>
      <w:t>1</w:t>
      <w:fldChar w:fldCharType="end"/>
    </w:r>
    <w:r>
      <w:rPr>
        <w:rFonts w:ascii="Inter" w:hAnsi="Inter"/>
        <w:b w:val="0"/>
        <w:i w:val="0"/>
        <w:color w:val="5A6872"/>
        <w:sz w:val="14"/>
      </w:rPr>
      <w:t xml:space="preserve"> of </w:t>
    </w:r>
    <w:r>
      <w:rPr>
        <w:rFonts w:ascii="Inter" w:hAnsi="Inter"/>
        <w:b w:val="0"/>
        <w:i w:val="0"/>
        <w:color w:val="5A6872"/>
        <w:sz w:val="14"/>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240" w:lineRule="auto"/>
      <w:jc w:val="right"/>
    </w:pPr>
    <w:r>
      <w:rPr>
        <w:rFonts w:ascii="Inter" w:hAnsi="Inter"/>
        <w:b w:val="0"/>
        <w:i w:val="0"/>
        <w:color w:val="5A6872"/>
        <w:sz w:val="14"/>
      </w:rPr>
      <w:t>Carbon Science &amp; Research  |  Science-Backed GTM Roadmap  |  27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Inter" w:hAnsi="Inter"/>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1934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193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0F59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934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b w:val="0"/>
      <w:i/>
      <w:iCs/>
      <w:color w:val="5A68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115/1.1436090" TargetMode="External"/><Relationship Id="rId16" Type="http://schemas.openxmlformats.org/officeDocument/2006/relationships/hyperlink" Target="https://doi.org/10.2172/759450" TargetMode="External"/><Relationship Id="rId17" Type="http://schemas.openxmlformats.org/officeDocument/2006/relationships/hyperlink" Target="https://cdrh-rst.fda.gov/method-manufactured-solutions-mms-code-verification-source-term-generation-tool" TargetMode="External"/><Relationship Id="rId18" Type="http://schemas.openxmlformats.org/officeDocument/2006/relationships/hyperlink" Target="https://ntrs.nasa.gov/citations/20140008915" TargetMode="External"/><Relationship Id="rId19" Type="http://schemas.openxmlformats.org/officeDocument/2006/relationships/hyperlink" Target="https://doi.org/10.1016/j.compstruc.2019.106175" TargetMode="External"/><Relationship Id="rId20" Type="http://schemas.openxmlformats.org/officeDocument/2006/relationships/hyperlink" Target="https://doi.org/10.5802/smai-jcm.132" TargetMode="External"/><Relationship Id="rId21" Type="http://schemas.openxmlformats.org/officeDocument/2006/relationships/hyperlink" Target="https://papers.nips.cc/paper_files/paper/2025/hash/d551ee47a0165febf1f2748b9b450886-Abstract-Conference.html" TargetMode="External"/><Relationship Id="rId22" Type="http://schemas.openxmlformats.org/officeDocument/2006/relationships/hyperlink" Target="https://arxiv.org/abs/2511.12890" TargetMode="External"/><Relationship Id="rId23" Type="http://schemas.openxmlformats.org/officeDocument/2006/relationships/hyperlink" Target="https://doi.org/10.1145/3648506" TargetMode="External"/><Relationship Id="rId24" Type="http://schemas.openxmlformats.org/officeDocument/2006/relationships/hyperlink" Target="https://doi.org/10.1038/s42254-024-00712-5" TargetMode="External"/><Relationship Id="rId25" Type="http://schemas.openxmlformats.org/officeDocument/2006/relationships/hyperlink" Target="https://arxiv.org/abs/2408.05177" TargetMode="External"/><Relationship Id="rId26" Type="http://schemas.openxmlformats.org/officeDocument/2006/relationships/hyperlink" Target="https://arxiv.org/abs/2507.18813" TargetMode="External"/><Relationship Id="rId27" Type="http://schemas.openxmlformats.org/officeDocument/2006/relationships/hyperlink" Target="https://arxiv.org/abs/2511.02481" TargetMode="External"/><Relationship Id="rId28" Type="http://schemas.openxmlformats.org/officeDocument/2006/relationships/hyperlink" Target="https://arxiv.org/abs/2606.21828" TargetMode="External"/><Relationship Id="rId29" Type="http://schemas.openxmlformats.org/officeDocument/2006/relationships/hyperlink" Target="https://arxiv.org/abs/2208.13273" TargetMode="External"/><Relationship Id="rId30" Type="http://schemas.openxmlformats.org/officeDocument/2006/relationships/hyperlink" Target="https://arxiv.org/abs/2210.17392" TargetMode="External"/><Relationship Id="rId31" Type="http://schemas.openxmlformats.org/officeDocument/2006/relationships/hyperlink" Target="https://arxiv.org/abs/2605.19867" TargetMode="External"/><Relationship Id="rId32" Type="http://schemas.openxmlformats.org/officeDocument/2006/relationships/hyperlink" Target="https://arxiv.org/abs/2504.00510" TargetMode="External"/><Relationship Id="rId33" Type="http://schemas.openxmlformats.org/officeDocument/2006/relationships/hyperlink" Target="https://arxiv.org/abs/2506.18427" TargetMode="External"/><Relationship Id="rId34" Type="http://schemas.openxmlformats.org/officeDocument/2006/relationships/hyperlink" Target="https://pages.nist.gov/pfhub/" TargetMode="External"/><Relationship Id="rId35" Type="http://schemas.openxmlformats.org/officeDocument/2006/relationships/hyperlink" Target="https://turbmodels.larc.nasa.gov/" TargetMode="External"/><Relationship Id="rId36" Type="http://schemas.openxmlformats.org/officeDocument/2006/relationships/hyperlink" Target="https://mfem.org/examples/" TargetMode="External"/><Relationship Id="rId37" Type="http://schemas.openxmlformats.org/officeDocument/2006/relationships/hyperlink" Target="https://www.clawpack.org/riemann_book/" TargetMode="External"/><Relationship Id="rId38" Type="http://schemas.openxmlformats.org/officeDocument/2006/relationships/hyperlink" Target="https://mooseframework.inl.gov/" TargetMode="External"/><Relationship Id="rId39" Type="http://schemas.openxmlformats.org/officeDocument/2006/relationships/hyperlink" Target="https://amrex-combustion.github.io/PeleC/VandV.html" TargetMode="External"/><Relationship Id="rId40" Type="http://schemas.openxmlformats.org/officeDocument/2006/relationships/hyperlink" Target="https://docs.pybamm.org/" TargetMode="External"/><Relationship Id="rId41" Type="http://schemas.openxmlformats.org/officeDocument/2006/relationships/hyperlink" Target="https://doi.org/10.1115/1.4002325" TargetMode="External"/><Relationship Id="rId42" Type="http://schemas.openxmlformats.org/officeDocument/2006/relationships/hyperlink" Target="https://www.sciencedirect.com/science/article/pii/S001793102500537X" TargetMode="External"/><Relationship Id="rId43" Type="http://schemas.openxmlformats.org/officeDocument/2006/relationships/hyperlink" Target="https://www.sciencedirect.com/science/article/abs/pii/S0017931015000757" TargetMode="External"/><Relationship Id="rId44" Type="http://schemas.openxmlformats.org/officeDocument/2006/relationships/hyperlink" Target="https://opg.optica.org/ao/fulltext.cfm?uri=ao-59-5-1293" TargetMode="External"/><Relationship Id="rId45" Type="http://schemas.openxmlformats.org/officeDocument/2006/relationships/hyperlink" Target="https://arxiv.org/abs/1906.04033" TargetMode="External"/><Relationship Id="rId46" Type="http://schemas.openxmlformats.org/officeDocument/2006/relationships/hyperlink" Target="https://arxiv.org/abs/2407.01605" TargetMode="External"/><Relationship Id="rId47" Type="http://schemas.openxmlformats.org/officeDocument/2006/relationships/hyperlink" Target="https://doi.org/10.1038/s42256-024-00897-5" TargetMode="External"/><Relationship Id="rId48" Type="http://schemas.openxmlformats.org/officeDocument/2006/relationships/hyperlink" Target="https://arxiv.org/abs/2210.07182" TargetMode="External"/><Relationship Id="rId49" Type="http://schemas.openxmlformats.org/officeDocument/2006/relationships/hyperlink" Target="https://arxiv.org/abs/2505.11955" TargetMode="External"/><Relationship Id="rId50" Type="http://schemas.openxmlformats.org/officeDocument/2006/relationships/hyperlink" Target="https://arxiv.org/abs/2308.12939" TargetMode="External"/><Relationship Id="rId51" Type="http://schemas.openxmlformats.org/officeDocument/2006/relationships/hyperlink" Target="https://arxiv.org/abs/2605.04853" TargetMode="External"/><Relationship Id="rId52" Type="http://schemas.openxmlformats.org/officeDocument/2006/relationships/hyperlink" Target="https://arxiv.org/abs/2607.25330" TargetMode="External"/><Relationship Id="rId53" Type="http://schemas.openxmlformats.org/officeDocument/2006/relationships/hyperlink" Target="https://www.fda.gov/regulatory-information/search-fda-guidance-documents/assessing-credibility-computational-modeling-and-simulation-medical-device-submissions" TargetMode="External"/><Relationship Id="rId54" Type="http://schemas.openxmlformats.org/officeDocument/2006/relationships/hyperlink" Target="https://mfix.netl.doe.gov/doc/vvuq-manual/main/html/mms/index.html" TargetMode="External"/><Relationship Id="rId55" Type="http://schemas.openxmlformats.org/officeDocument/2006/relationships/hyperlink" Target="https://arxiv.org/abs/2608.02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Science-Backed Go-to-Market and Physics Qualification Roadmap</dc:title>
  <dc:subject>Reference strategies, MMS, hybrid neural operators, engineering use-case matrix and Carbon qualification path</dc:subject>
  <dc:creator>Carbon Science &amp; Research</dc:creator>
  <cp:keywords>Carbon, scientific computing, neural operators, MMS, verification, validation, reference solvers, GTM</cp:keywords>
  <dc:description>Working research memo. Not a product qualification or settled product decision.</dc:description>
  <cp:lastModifiedBy/>
  <cp:revision>1</cp:revision>
  <dcterms:created xsi:type="dcterms:W3CDTF">2013-12-23T23:15:00Z</dcterms:created>
  <dcterms:modified xsi:type="dcterms:W3CDTF">2013-12-23T23:15:00Z</dcterms:modified>
  <cp:category/>
</cp:coreProperties>
</file>