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72"/>
        </w:rPr>
        <w:t>NSPD GHANA</w:t>
      </w:r>
    </w:p>
    <w:p>
      <w:pPr>
        <w:jc w:val="center"/>
      </w:pPr>
      <w:r>
        <w:rPr>
          <w:rFonts w:ascii="Calibri" w:hAnsi="Calibri"/>
          <w:color w:val="666666"/>
          <w:sz w:val="44"/>
        </w:rPr>
        <w:t>System Enhancement Proposal</w:t>
      </w:r>
    </w:p>
    <w:p/>
    <w:p>
      <w:pPr>
        <w:jc w:val="center"/>
      </w:pPr>
      <w:r>
        <w:rPr>
          <w:b/>
          <w:color w:val="CCA300"/>
          <w:sz w:val="28"/>
        </w:rPr>
        <w:t>Version 2.0</w:t>
      </w:r>
    </w:p>
    <w:p/>
    <w:p/>
    <w:p>
      <w:pPr>
        <w:jc w:val="center"/>
      </w:pPr>
      <w:r>
        <w:rPr>
          <w:b/>
          <w:color w:val="666666"/>
          <w:sz w:val="22"/>
        </w:rPr>
        <w:t xml:space="preserve">Prepared for: </w:t>
      </w:r>
      <w:r>
        <w:rPr>
          <w:color w:val="333333"/>
          <w:sz w:val="22"/>
        </w:rPr>
        <w:t>Ghana Maritime Authority</w:t>
      </w:r>
    </w:p>
    <w:p>
      <w:pPr>
        <w:jc w:val="center"/>
      </w:pPr>
      <w:r>
        <w:rPr>
          <w:b/>
          <w:color w:val="666666"/>
          <w:sz w:val="22"/>
        </w:rPr>
        <w:t xml:space="preserve">Prepared by: </w:t>
      </w:r>
      <w:r>
        <w:rPr>
          <w:color w:val="333333"/>
          <w:sz w:val="22"/>
        </w:rPr>
        <w:t>NSPD Ghana Development Team</w:t>
      </w:r>
    </w:p>
    <w:p>
      <w:pPr>
        <w:jc w:val="center"/>
      </w:pPr>
      <w:r>
        <w:rPr>
          <w:b/>
          <w:color w:val="666666"/>
          <w:sz w:val="22"/>
        </w:rPr>
        <w:t xml:space="preserve">Date: </w:t>
      </w:r>
      <w:r>
        <w:rPr>
          <w:color w:val="333333"/>
          <w:sz w:val="22"/>
        </w:rPr>
        <w:t>April 2026</w:t>
      </w:r>
    </w:p>
    <w:p>
      <w:pPr>
        <w:jc w:val="center"/>
      </w:pPr>
      <w:r>
        <w:rPr>
          <w:b/>
          <w:color w:val="666666"/>
          <w:sz w:val="22"/>
        </w:rPr>
        <w:t xml:space="preserve">Document Version: </w:t>
      </w:r>
      <w:r>
        <w:rPr>
          <w:color w:val="333333"/>
          <w:sz w:val="22"/>
        </w:rPr>
        <w:t>1.0</w:t>
      </w:r>
    </w:p>
    <w:p>
      <w:pPr>
        <w:jc w:val="center"/>
      </w:pPr>
      <w:r>
        <w:rPr>
          <w:b/>
          <w:color w:val="666666"/>
          <w:sz w:val="22"/>
        </w:rPr>
        <w:t xml:space="preserve">Classification: </w:t>
      </w:r>
      <w:r>
        <w:rPr>
          <w:color w:val="333333"/>
          <w:sz w:val="22"/>
        </w:rPr>
        <w:t>Confidential</w:t>
      </w:r>
    </w:p>
    <w:p>
      <w:r>
        <w:br w:type="page"/>
      </w:r>
    </w:p>
    <w:p>
      <w:pPr>
        <w:pStyle w:val="Heading1"/>
      </w:pPr>
      <w:r>
        <w:t>Table of Contents</w:t>
      </w:r>
    </w:p>
    <w:p>
      <w:pPr>
        <w:spacing w:after="40"/>
      </w:pPr>
      <w:r>
        <w:t>1.  Executive Summary</w:t>
      </w:r>
    </w:p>
    <w:p>
      <w:pPr>
        <w:spacing w:after="40"/>
      </w:pPr>
      <w:r>
        <w:t>2.  What the System Does Today</w:t>
      </w:r>
    </w:p>
    <w:p>
      <w:pPr>
        <w:spacing w:after="40"/>
      </w:pPr>
      <w:r>
        <w:t>3.  What Needs to Change</w:t>
      </w:r>
    </w:p>
    <w:p>
      <w:pPr>
        <w:spacing w:after="40"/>
      </w:pPr>
      <w:r>
        <w:t>4.  Proposed New Features</w:t>
      </w:r>
    </w:p>
    <w:p>
      <w:pPr>
        <w:spacing w:after="40"/>
      </w:pPr>
      <w:r>
        <w:t xml:space="preserve">     4.1  Phase 1 — Core Capabilities</w:t>
      </w:r>
    </w:p>
    <w:p>
      <w:pPr>
        <w:spacing w:after="40"/>
      </w:pPr>
      <w:r>
        <w:t xml:space="preserve">     4.2  Phase 2 — Compliance &amp; Records</w:t>
      </w:r>
    </w:p>
    <w:p>
      <w:pPr>
        <w:spacing w:after="40"/>
      </w:pPr>
      <w:r>
        <w:t xml:space="preserve">     4.3  Phase 3 — Operational Tools</w:t>
      </w:r>
    </w:p>
    <w:p>
      <w:pPr>
        <w:spacing w:after="40"/>
      </w:pPr>
      <w:r>
        <w:t xml:space="preserve">     4.4  Phase 4 — Finishing Touches</w:t>
      </w:r>
    </w:p>
    <w:p>
      <w:pPr>
        <w:spacing w:after="40"/>
      </w:pPr>
      <w:r>
        <w:t>5.  Implementation Timeline</w:t>
      </w:r>
    </w:p>
    <w:p>
      <w:pPr>
        <w:spacing w:after="40"/>
      </w:pPr>
      <w:r>
        <w:t>6.  Summary of Deliverables</w:t>
      </w:r>
    </w:p>
    <w:p>
      <w:r>
        <w:br w:type="page"/>
      </w:r>
    </w:p>
    <w:p>
      <w:pPr>
        <w:pStyle w:val="Heading1"/>
      </w:pPr>
      <w:r>
        <w:t>1. Executive Summary</w:t>
      </w:r>
    </w:p>
    <w:p>
      <w:r>
        <w:t>The National Seafarer Placement Database (NSPD) Ghana system currently serves as an internal dashboard for reviewing seafarer training applications. Staff can log in to view submissions, browse analytics, and export data — but the system is read-only. There is no way for seafarers to apply through the platform, no process for reviewing and approving applications, and no tools for managing user accounts or tracking documents.</w:t>
      </w:r>
    </w:p>
    <w:p>
      <w:r>
        <w:t>This proposal outlines a plan to transform NSPD Ghana into a complete, end-to-end seafarer registration and compliance management platform. The upgrade is organised into four phases, each delivering working features that can be used immediately upon completion.</w:t>
      </w:r>
    </w:p>
    <w:p/>
    <w:p>
      <w:r>
        <w:rPr>
          <w:b/>
        </w:rPr>
        <w:t>In summary, Version 2 will enable the system to:</w:t>
      </w:r>
    </w:p>
    <w:p>
      <w:pPr>
        <w:pStyle w:val="ListBullet"/>
      </w:pPr>
      <w:r>
        <w:t>Accept new seafarer applications directly through the platform</w:t>
      </w:r>
    </w:p>
    <w:p>
      <w:pPr>
        <w:pStyle w:val="ListBullet"/>
      </w:pPr>
      <w:r>
        <w:t>Process applications through a structured review and approval workflow</w:t>
      </w:r>
    </w:p>
    <w:p>
      <w:pPr>
        <w:pStyle w:val="ListBullet"/>
      </w:pPr>
      <w:r>
        <w:t>Store and manage certificates, medical records, and identification documents</w:t>
      </w:r>
    </w:p>
    <w:p>
      <w:pPr>
        <w:pStyle w:val="ListBullet"/>
      </w:pPr>
      <w:r>
        <w:t>Track certification expiry dates and flag compliance issues automatically</w:t>
      </w:r>
    </w:p>
    <w:p>
      <w:pPr>
        <w:pStyle w:val="ListBullet"/>
      </w:pPr>
      <w:r>
        <w:t>Provide a full audit trail of all system activity</w:t>
      </w:r>
    </w:p>
    <w:p>
      <w:pPr>
        <w:pStyle w:val="ListBullet"/>
      </w:pPr>
      <w:r>
        <w:t>Send email notifications to seafarers and staff at key milestones</w:t>
      </w:r>
    </w:p>
    <w:p>
      <w:pPr>
        <w:pStyle w:val="ListBullet"/>
      </w:pPr>
      <w:r>
        <w:t>Support user account management without requiring developer involvement</w:t>
      </w:r>
    </w:p>
    <w:p>
      <w:r>
        <w:br w:type="page"/>
      </w:r>
    </w:p>
    <w:p>
      <w:pPr>
        <w:pStyle w:val="Heading1"/>
      </w:pPr>
      <w:r>
        <w:t>2. What the System Does Today</w:t>
      </w:r>
    </w:p>
    <w:p>
      <w:r>
        <w:t>Before outlining what needs to change, it is important to acknowledge what the current system already does well. The existing platform provides a solid foundation to build upon.</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003366"/>
          </w:tcPr>
          <w:p>
            <w:pPr>
              <w:jc w:val="left"/>
            </w:pPr>
            <w:r/>
            <w:r>
              <w:rPr>
                <w:rFonts w:ascii="Calibri" w:hAnsi="Calibri"/>
                <w:b/>
                <w:color w:val="FFFFFF"/>
                <w:sz w:val="20"/>
              </w:rPr>
              <w:t>Feature</w:t>
            </w:r>
          </w:p>
        </w:tc>
        <w:tc>
          <w:tcPr>
            <w:tcW w:type="dxa" w:w="6768"/>
            <w:shd w:val="clear" w:color="auto" w:fill="003366"/>
          </w:tcPr>
          <w:p>
            <w:pPr>
              <w:jc w:val="left"/>
            </w:pPr>
            <w:r/>
            <w:r>
              <w:rPr>
                <w:rFonts w:ascii="Calibri" w:hAnsi="Calibri"/>
                <w:b/>
                <w:color w:val="FFFFFF"/>
                <w:sz w:val="20"/>
              </w:rPr>
              <w:t>Description</w:t>
            </w:r>
          </w:p>
        </w:tc>
      </w:tr>
      <w:tr>
        <w:tc>
          <w:tcPr>
            <w:tcW w:type="dxa" w:w="2592"/>
          </w:tcPr>
          <w:p>
            <w:r/>
            <w:r>
              <w:rPr>
                <w:rFonts w:ascii="Calibri" w:hAnsi="Calibri"/>
                <w:sz w:val="20"/>
              </w:rPr>
              <w:t>Secure Login</w:t>
            </w:r>
          </w:p>
        </w:tc>
        <w:tc>
          <w:tcPr>
            <w:tcW w:type="dxa" w:w="6768"/>
          </w:tcPr>
          <w:p>
            <w:r/>
            <w:r>
              <w:rPr>
                <w:rFonts w:ascii="Calibri" w:hAnsi="Calibri"/>
                <w:sz w:val="20"/>
              </w:rPr>
              <w:t>Staff log in with a username and password. Sessions are protected against common web security threats.</w:t>
            </w:r>
          </w:p>
        </w:tc>
      </w:tr>
      <w:tr>
        <w:tc>
          <w:tcPr>
            <w:tcW w:type="dxa" w:w="2592"/>
            <w:shd w:val="clear" w:color="auto" w:fill="F4F7F6"/>
          </w:tcPr>
          <w:p>
            <w:r/>
            <w:r>
              <w:rPr>
                <w:rFonts w:ascii="Calibri" w:hAnsi="Calibri"/>
                <w:sz w:val="20"/>
              </w:rPr>
              <w:t>Dashboard</w:t>
            </w:r>
          </w:p>
        </w:tc>
        <w:tc>
          <w:tcPr>
            <w:tcW w:type="dxa" w:w="6768"/>
            <w:shd w:val="clear" w:color="auto" w:fill="F4F7F6"/>
          </w:tcPr>
          <w:p>
            <w:r/>
            <w:r>
              <w:rPr>
                <w:rFonts w:ascii="Calibri" w:hAnsi="Calibri"/>
                <w:sz w:val="20"/>
              </w:rPr>
              <w:t>A summary view showing total submissions, average sea experience, the most common rank, and recent activity.</w:t>
            </w:r>
          </w:p>
        </w:tc>
      </w:tr>
      <w:tr>
        <w:tc>
          <w:tcPr>
            <w:tcW w:type="dxa" w:w="2592"/>
          </w:tcPr>
          <w:p>
            <w:r/>
            <w:r>
              <w:rPr>
                <w:rFonts w:ascii="Calibri" w:hAnsi="Calibri"/>
                <w:sz w:val="20"/>
              </w:rPr>
              <w:t>Submissions List</w:t>
            </w:r>
          </w:p>
        </w:tc>
        <w:tc>
          <w:tcPr>
            <w:tcW w:type="dxa" w:w="6768"/>
          </w:tcPr>
          <w:p>
            <w:r/>
            <w:r>
              <w:rPr>
                <w:rFonts w:ascii="Calibri" w:hAnsi="Calibri"/>
                <w:sz w:val="20"/>
              </w:rPr>
              <w:t>A searchable, paginated list of all seafarer applications, with filtering by rank.</w:t>
            </w:r>
          </w:p>
        </w:tc>
      </w:tr>
      <w:tr>
        <w:tc>
          <w:tcPr>
            <w:tcW w:type="dxa" w:w="2592"/>
            <w:shd w:val="clear" w:color="auto" w:fill="F4F7F6"/>
          </w:tcPr>
          <w:p>
            <w:r/>
            <w:r>
              <w:rPr>
                <w:rFonts w:ascii="Calibri" w:hAnsi="Calibri"/>
                <w:sz w:val="20"/>
              </w:rPr>
              <w:t>Submission Details</w:t>
            </w:r>
          </w:p>
        </w:tc>
        <w:tc>
          <w:tcPr>
            <w:tcW w:type="dxa" w:w="6768"/>
            <w:shd w:val="clear" w:color="auto" w:fill="F4F7F6"/>
          </w:tcPr>
          <w:p>
            <w:r/>
            <w:r>
              <w:rPr>
                <w:rFonts w:ascii="Calibri" w:hAnsi="Calibri"/>
                <w:sz w:val="20"/>
              </w:rPr>
              <w:t>A full-page view of any individual application, showing personal details, qualifications, and sea experience.</w:t>
            </w:r>
          </w:p>
        </w:tc>
      </w:tr>
      <w:tr>
        <w:tc>
          <w:tcPr>
            <w:tcW w:type="dxa" w:w="2592"/>
          </w:tcPr>
          <w:p>
            <w:r/>
            <w:r>
              <w:rPr>
                <w:rFonts w:ascii="Calibri" w:hAnsi="Calibri"/>
                <w:sz w:val="20"/>
              </w:rPr>
              <w:t>Reports &amp; Charts</w:t>
            </w:r>
          </w:p>
        </w:tc>
        <w:tc>
          <w:tcPr>
            <w:tcW w:type="dxa" w:w="6768"/>
          </w:tcPr>
          <w:p>
            <w:r/>
            <w:r>
              <w:rPr>
                <w:rFonts w:ascii="Calibri" w:hAnsi="Calibri"/>
                <w:sz w:val="20"/>
              </w:rPr>
              <w:t>Five interactive charts covering registration trends, rank distribution, experience levels, certification coverage, and medical fitness.</w:t>
            </w:r>
          </w:p>
        </w:tc>
      </w:tr>
      <w:tr>
        <w:tc>
          <w:tcPr>
            <w:tcW w:type="dxa" w:w="2592"/>
            <w:shd w:val="clear" w:color="auto" w:fill="F4F7F6"/>
          </w:tcPr>
          <w:p>
            <w:r/>
            <w:r>
              <w:rPr>
                <w:rFonts w:ascii="Calibri" w:hAnsi="Calibri"/>
                <w:sz w:val="20"/>
              </w:rPr>
              <w:t>PDF Export</w:t>
            </w:r>
          </w:p>
        </w:tc>
        <w:tc>
          <w:tcPr>
            <w:tcW w:type="dxa" w:w="6768"/>
            <w:shd w:val="clear" w:color="auto" w:fill="F4F7F6"/>
          </w:tcPr>
          <w:p>
            <w:r/>
            <w:r>
              <w:rPr>
                <w:rFonts w:ascii="Calibri" w:hAnsi="Calibri"/>
                <w:sz w:val="20"/>
              </w:rPr>
              <w:t>Download an individual submission as a formatted PDF report.</w:t>
            </w:r>
          </w:p>
        </w:tc>
      </w:tr>
      <w:tr>
        <w:tc>
          <w:tcPr>
            <w:tcW w:type="dxa" w:w="2592"/>
          </w:tcPr>
          <w:p>
            <w:r/>
            <w:r>
              <w:rPr>
                <w:rFonts w:ascii="Calibri" w:hAnsi="Calibri"/>
                <w:sz w:val="20"/>
              </w:rPr>
              <w:t>CSV Export</w:t>
            </w:r>
          </w:p>
        </w:tc>
        <w:tc>
          <w:tcPr>
            <w:tcW w:type="dxa" w:w="6768"/>
          </w:tcPr>
          <w:p>
            <w:r/>
            <w:r>
              <w:rPr>
                <w:rFonts w:ascii="Calibri" w:hAnsi="Calibri"/>
                <w:sz w:val="20"/>
              </w:rPr>
              <w:t>Export all submissions (or a filtered subset) as a spreadsheet file.</w:t>
            </w:r>
          </w:p>
        </w:tc>
      </w:tr>
      <w:tr>
        <w:tc>
          <w:tcPr>
            <w:tcW w:type="dxa" w:w="2592"/>
            <w:shd w:val="clear" w:color="auto" w:fill="F4F7F6"/>
          </w:tcPr>
          <w:p>
            <w:r/>
            <w:r>
              <w:rPr>
                <w:rFonts w:ascii="Calibri" w:hAnsi="Calibri"/>
                <w:sz w:val="20"/>
              </w:rPr>
              <w:t>User Roles</w:t>
            </w:r>
          </w:p>
        </w:tc>
        <w:tc>
          <w:tcPr>
            <w:tcW w:type="dxa" w:w="6768"/>
            <w:shd w:val="clear" w:color="auto" w:fill="F4F7F6"/>
          </w:tcPr>
          <w:p>
            <w:r/>
            <w:r>
              <w:rPr>
                <w:rFonts w:ascii="Calibri" w:hAnsi="Calibri"/>
                <w:sz w:val="20"/>
              </w:rPr>
              <w:t>Three access levels — Administrator, Reviewer, and Viewer — controlling who can export data.</w:t>
            </w:r>
          </w:p>
        </w:tc>
      </w:tr>
    </w:tbl>
    <w:p/>
    <w:p>
      <w:r>
        <w:t>The system currently holds 574 seafarer application records that were imported from a previous data source.</w:t>
      </w:r>
    </w:p>
    <w:p>
      <w:r>
        <w:br w:type="page"/>
      </w:r>
    </w:p>
    <w:p>
      <w:pPr>
        <w:pStyle w:val="Heading1"/>
      </w:pPr>
      <w:r>
        <w:t>3. What Needs to Change</w:t>
      </w:r>
    </w:p>
    <w:p>
      <w:r>
        <w:t>A thorough review of the platform has identified six significant gaps that limit its usefulness as an operational tool for the Ghana Maritime Authority.</w:t>
      </w:r>
    </w:p>
    <w:p>
      <w:pPr>
        <w:pStyle w:val="ListBullet"/>
      </w:pPr>
      <w:r>
        <w:rPr>
          <w:b/>
        </w:rPr>
        <w:t xml:space="preserve">No way for seafarers to apply. </w:t>
      </w:r>
      <w:r>
        <w:t>The system is staff-only. There is no online form for seafarers to submit applications. All existing records were loaded manually from an external source.</w:t>
      </w:r>
    </w:p>
    <w:p>
      <w:pPr>
        <w:pStyle w:val="ListBullet"/>
      </w:pPr>
      <w:r>
        <w:rPr>
          <w:b/>
        </w:rPr>
        <w:t xml:space="preserve">No application review process. </w:t>
      </w:r>
      <w:r>
        <w:t>Once an application is in the system, there is no way to mark it as reviewed, approved, or rejected. There is no assignment of applications to specific reviewers, and no way to leave internal notes.</w:t>
      </w:r>
    </w:p>
    <w:p>
      <w:pPr>
        <w:pStyle w:val="ListBullet"/>
      </w:pPr>
      <w:r>
        <w:rPr>
          <w:b/>
        </w:rPr>
        <w:t xml:space="preserve">No user management. </w:t>
      </w:r>
      <w:r>
        <w:t>New staff accounts can only be created by a developer with direct access to the database. Administrators cannot add, edit, or remove users through the platform.</w:t>
      </w:r>
    </w:p>
    <w:p>
      <w:pPr>
        <w:pStyle w:val="ListBullet"/>
      </w:pPr>
      <w:r>
        <w:rPr>
          <w:b/>
        </w:rPr>
        <w:t xml:space="preserve">No document storage. </w:t>
      </w:r>
      <w:r>
        <w:t>The system records whether a seafarer has certifications or medical clearance, but only as a simple Yes or No. Actual documents (certificates, medical reports, ID scans) are not captured or stored.</w:t>
      </w:r>
    </w:p>
    <w:p>
      <w:pPr>
        <w:pStyle w:val="ListBullet"/>
      </w:pPr>
      <w:r>
        <w:rPr>
          <w:b/>
        </w:rPr>
        <w:t xml:space="preserve">Limited seafarer information. </w:t>
      </w:r>
      <w:r>
        <w:t>Important details are missing from the data — date of birth, nationality, identification numbers, emergency contacts, and residential address. Certifications and medical records lack dates, so the system cannot flag expired documents.</w:t>
      </w:r>
    </w:p>
    <w:p>
      <w:pPr>
        <w:pStyle w:val="ListBullet"/>
      </w:pPr>
      <w:r>
        <w:rPr>
          <w:b/>
        </w:rPr>
        <w:t xml:space="preserve">No activity tracking. </w:t>
      </w:r>
      <w:r>
        <w:t>There is no record of who accessed what, when exports were performed, or who made decisions on applications. This makes it difficult to maintain accountability.</w:t>
      </w:r>
    </w:p>
    <w:p>
      <w:r>
        <w:br w:type="page"/>
      </w:r>
    </w:p>
    <w:p>
      <w:pPr>
        <w:pStyle w:val="Heading1"/>
      </w:pPr>
      <w:r>
        <w:t>4. Proposed New Features</w:t>
      </w:r>
    </w:p>
    <w:p>
      <w:r>
        <w:t>The proposed enhancements are organised into four phases. Each phase delivers a complete set of features that can be deployed and used as soon as it is finished — there is no need to wait for the entire project to be completed before seeing results.</w:t>
      </w:r>
    </w:p>
    <w:p>
      <w:pPr>
        <w:pStyle w:val="Heading2"/>
      </w:pPr>
      <w:r>
        <w:t>Phase 1 — Core Capabilities</w:t>
      </w:r>
    </w:p>
    <w:p>
      <w:r>
        <w:t>These are the most important additions. They address the fundamental gaps and transform the system from a passive data viewer into an active operational tool.</w:t>
      </w:r>
    </w:p>
    <w:p>
      <w:pPr>
        <w:pStyle w:val="Heading3"/>
      </w:pPr>
      <w:r>
        <w:t>Online Seafarer Registration Form</w:t>
      </w:r>
    </w:p>
    <w:p>
      <w:r>
        <w:t>A public-facing, multi-step application form that seafarers can access without needing a login. The form will guide applicants through a clear, step-by-step process:</w:t>
      </w:r>
    </w:p>
    <w:p>
      <w:pPr>
        <w:pStyle w:val="ListBullet"/>
      </w:pPr>
      <w:r>
        <w:rPr>
          <w:b/>
        </w:rPr>
        <w:t xml:space="preserve">Personal Information — </w:t>
      </w:r>
      <w:r>
        <w:t>Name, date of birth, contact details, nationality, and identification number.</w:t>
      </w:r>
    </w:p>
    <w:p>
      <w:pPr>
        <w:pStyle w:val="ListBullet"/>
      </w:pPr>
      <w:r>
        <w:rPr>
          <w:b/>
        </w:rPr>
        <w:t xml:space="preserve">Qualifications — </w:t>
      </w:r>
      <w:r>
        <w:t>Maritime rank, training courses completed, and ISPS/GMA familiarisation status.</w:t>
      </w:r>
    </w:p>
    <w:p>
      <w:pPr>
        <w:pStyle w:val="ListBullet"/>
      </w:pPr>
      <w:r>
        <w:rPr>
          <w:b/>
        </w:rPr>
        <w:t xml:space="preserve">Sea Experience — </w:t>
      </w:r>
      <w:r>
        <w:t>Voyage history, total years at sea, and most recent vessel type.</w:t>
      </w:r>
    </w:p>
    <w:p>
      <w:pPr>
        <w:pStyle w:val="ListBullet"/>
      </w:pPr>
      <w:r>
        <w:rPr>
          <w:b/>
        </w:rPr>
        <w:t xml:space="preserve">Medical Fitness — </w:t>
      </w:r>
      <w:r>
        <w:t>Current medical status, examining clinic, and certificate expiry date.</w:t>
      </w:r>
    </w:p>
    <w:p>
      <w:pPr>
        <w:pStyle w:val="ListBullet"/>
      </w:pPr>
      <w:r>
        <w:rPr>
          <w:b/>
        </w:rPr>
        <w:t xml:space="preserve">Document Uploads — </w:t>
      </w:r>
      <w:r>
        <w:t>Certificates, medical reports, identification scans, and a passport-size photo.</w:t>
      </w:r>
    </w:p>
    <w:p>
      <w:pPr>
        <w:pStyle w:val="ListBullet"/>
      </w:pPr>
      <w:r>
        <w:rPr>
          <w:b/>
        </w:rPr>
        <w:t xml:space="preserve">Review &amp; Submit — </w:t>
      </w:r>
      <w:r>
        <w:t>A summary of all entered information with the ability to go back and make corrections before final submission.</w:t>
      </w:r>
    </w:p>
    <w:p>
      <w:r>
        <w:t>Upon successful submission, the seafarer receives a confirmation page with a unique reference number. The system automatically checks for duplicate applications using the email address and phone number.</w:t>
      </w:r>
    </w:p>
    <w:p>
      <w:pPr>
        <w:pStyle w:val="Heading3"/>
      </w:pPr>
      <w:r>
        <w:t>Application Review &amp; Approval Workflow</w:t>
      </w:r>
    </w:p>
    <w:p>
      <w:r>
        <w:t>A structured process for reviewing and making decisions on applications. Each application will move through clear stages:</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003366"/>
          </w:tcPr>
          <w:p>
            <w:pPr>
              <w:jc w:val="left"/>
            </w:pPr>
            <w:r/>
            <w:r>
              <w:rPr>
                <w:rFonts w:ascii="Calibri" w:hAnsi="Calibri"/>
                <w:b/>
                <w:color w:val="FFFFFF"/>
                <w:sz w:val="20"/>
              </w:rPr>
              <w:t>Stage</w:t>
            </w:r>
          </w:p>
        </w:tc>
        <w:tc>
          <w:tcPr>
            <w:tcW w:type="dxa" w:w="7200"/>
            <w:shd w:val="clear" w:color="auto" w:fill="003366"/>
          </w:tcPr>
          <w:p>
            <w:pPr>
              <w:jc w:val="left"/>
            </w:pPr>
            <w:r/>
            <w:r>
              <w:rPr>
                <w:rFonts w:ascii="Calibri" w:hAnsi="Calibri"/>
                <w:b/>
                <w:color w:val="FFFFFF"/>
                <w:sz w:val="20"/>
              </w:rPr>
              <w:t>What Happens</w:t>
            </w:r>
          </w:p>
        </w:tc>
      </w:tr>
      <w:tr>
        <w:tc>
          <w:tcPr>
            <w:tcW w:type="dxa" w:w="2160"/>
          </w:tcPr>
          <w:p>
            <w:r/>
            <w:r>
              <w:rPr>
                <w:rFonts w:ascii="Calibri" w:hAnsi="Calibri"/>
                <w:sz w:val="20"/>
              </w:rPr>
              <w:t>Pending</w:t>
            </w:r>
          </w:p>
        </w:tc>
        <w:tc>
          <w:tcPr>
            <w:tcW w:type="dxa" w:w="7200"/>
          </w:tcPr>
          <w:p>
            <w:r/>
            <w:r>
              <w:rPr>
                <w:rFonts w:ascii="Calibri" w:hAnsi="Calibri"/>
                <w:sz w:val="20"/>
              </w:rPr>
              <w:t>The application has been submitted and is waiting to be picked up by a reviewer.</w:t>
            </w:r>
          </w:p>
        </w:tc>
      </w:tr>
      <w:tr>
        <w:tc>
          <w:tcPr>
            <w:tcW w:type="dxa" w:w="2160"/>
            <w:shd w:val="clear" w:color="auto" w:fill="F4F7F6"/>
          </w:tcPr>
          <w:p>
            <w:r/>
            <w:r>
              <w:rPr>
                <w:rFonts w:ascii="Calibri" w:hAnsi="Calibri"/>
                <w:sz w:val="20"/>
              </w:rPr>
              <w:t>Under Review</w:t>
            </w:r>
          </w:p>
        </w:tc>
        <w:tc>
          <w:tcPr>
            <w:tcW w:type="dxa" w:w="7200"/>
            <w:shd w:val="clear" w:color="auto" w:fill="F4F7F6"/>
          </w:tcPr>
          <w:p>
            <w:r/>
            <w:r>
              <w:rPr>
                <w:rFonts w:ascii="Calibri" w:hAnsi="Calibri"/>
                <w:sz w:val="20"/>
              </w:rPr>
              <w:t>A reviewer has been assigned and is examining the application and supporting documents.</w:t>
            </w:r>
          </w:p>
        </w:tc>
      </w:tr>
      <w:tr>
        <w:tc>
          <w:tcPr>
            <w:tcW w:type="dxa" w:w="2160"/>
          </w:tcPr>
          <w:p>
            <w:r/>
            <w:r>
              <w:rPr>
                <w:rFonts w:ascii="Calibri" w:hAnsi="Calibri"/>
                <w:sz w:val="20"/>
              </w:rPr>
              <w:t>Approved</w:t>
            </w:r>
          </w:p>
        </w:tc>
        <w:tc>
          <w:tcPr>
            <w:tcW w:type="dxa" w:w="7200"/>
          </w:tcPr>
          <w:p>
            <w:r/>
            <w:r>
              <w:rPr>
                <w:rFonts w:ascii="Calibri" w:hAnsi="Calibri"/>
                <w:sz w:val="20"/>
              </w:rPr>
              <w:t>The application has been reviewed and accepted.</w:t>
            </w:r>
          </w:p>
        </w:tc>
      </w:tr>
      <w:tr>
        <w:tc>
          <w:tcPr>
            <w:tcW w:type="dxa" w:w="2160"/>
            <w:shd w:val="clear" w:color="auto" w:fill="F4F7F6"/>
          </w:tcPr>
          <w:p>
            <w:r/>
            <w:r>
              <w:rPr>
                <w:rFonts w:ascii="Calibri" w:hAnsi="Calibri"/>
                <w:sz w:val="20"/>
              </w:rPr>
              <w:t>Rejected</w:t>
            </w:r>
          </w:p>
        </w:tc>
        <w:tc>
          <w:tcPr>
            <w:tcW w:type="dxa" w:w="7200"/>
            <w:shd w:val="clear" w:color="auto" w:fill="F4F7F6"/>
          </w:tcPr>
          <w:p>
            <w:r/>
            <w:r>
              <w:rPr>
                <w:rFonts w:ascii="Calibri" w:hAnsi="Calibri"/>
                <w:sz w:val="20"/>
              </w:rPr>
              <w:t>The application has been reviewed and declined, with a reason provided.</w:t>
            </w:r>
          </w:p>
        </w:tc>
      </w:tr>
    </w:tbl>
    <w:p/>
    <w:p>
      <w:r>
        <w:t>Reviewers will be able to leave internal notes on any application. When rejecting an application, a reason must be provided. The dashboard will be updated to show how many applications are awaiting review and how many have been processed today.</w:t>
      </w:r>
    </w:p>
    <w:p>
      <w:pPr>
        <w:pStyle w:val="Heading3"/>
      </w:pPr>
      <w:r>
        <w:t>User Management</w:t>
      </w:r>
    </w:p>
    <w:p>
      <w:r>
        <w:t>A dedicated page for administrators to manage staff accounts. This includes the ability to create new users, assign roles (Administrator, Reviewer, or Viewer), reset passwords, and deactivate accounts that are no longer needed. Staff members will also be able to change their own password from within the platform.</w:t>
      </w:r>
    </w:p>
    <w:p>
      <w:pPr>
        <w:pStyle w:val="Heading3"/>
      </w:pPr>
      <w:r>
        <w:t>Document Upload &amp; Storage</w:t>
      </w:r>
    </w:p>
    <w:p>
      <w:r>
        <w:t>The system will accept and securely store documents uploaded during the application process or added later by staff. Supported documents include:</w:t>
      </w:r>
    </w:p>
    <w:p>
      <w:pPr>
        <w:pStyle w:val="ListBullet"/>
      </w:pPr>
      <w:r>
        <w:t>Certificates of Competency and Proficiency</w:t>
      </w:r>
    </w:p>
    <w:p>
      <w:pPr>
        <w:pStyle w:val="ListBullet"/>
      </w:pPr>
      <w:r>
        <w:t>STCW training certificates</w:t>
      </w:r>
    </w:p>
    <w:p>
      <w:pPr>
        <w:pStyle w:val="ListBullet"/>
      </w:pPr>
      <w:r>
        <w:t>Medical fitness certificates</w:t>
      </w:r>
    </w:p>
    <w:p>
      <w:pPr>
        <w:pStyle w:val="ListBullet"/>
      </w:pPr>
      <w:r>
        <w:t>Passport or Ghana Card scans</w:t>
      </w:r>
    </w:p>
    <w:p>
      <w:pPr>
        <w:pStyle w:val="ListBullet"/>
      </w:pPr>
      <w:r>
        <w:t>Passport-size photographs</w:t>
      </w:r>
    </w:p>
    <w:p>
      <w:pPr>
        <w:pStyle w:val="ListBullet"/>
      </w:pPr>
      <w:r>
        <w:t>Other supporting documents</w:t>
      </w:r>
    </w:p>
    <w:p>
      <w:r>
        <w:t>Documents will be viewable and downloadable from the submission detail page. The submissions list will show at a glance whether required documents have been uploaded or are still missing.</w:t>
      </w:r>
    </w:p>
    <w:p>
      <w:r>
        <w:br w:type="page"/>
      </w:r>
    </w:p>
    <w:p>
      <w:pPr>
        <w:pStyle w:val="Heading2"/>
      </w:pPr>
      <w:r>
        <w:t>Phase 2 — Compliance &amp; Records Management</w:t>
      </w:r>
    </w:p>
    <w:p>
      <w:r>
        <w:t>These features expand the information the system captures, enabling real compliance monitoring rather than simple Yes/No tracking.</w:t>
      </w:r>
    </w:p>
    <w:p>
      <w:pPr>
        <w:pStyle w:val="Heading3"/>
      </w:pPr>
      <w:r>
        <w:t>Enhanced Seafarer Profiles</w:t>
      </w:r>
    </w:p>
    <w:p>
      <w:r>
        <w:t>The seafarer record will be expanded to include date of birth, gender, nationality, identification number (Ghana Card or Passport), residential address, region, and emergency contact information. A passport-size photo will be stored alongside each profile. This brings the system in line with the data requirements of the IMO and the Ghana Maritime Authority.</w:t>
      </w:r>
    </w:p>
    <w:p>
      <w:pPr>
        <w:pStyle w:val="Heading3"/>
      </w:pPr>
      <w:r>
        <w:t>Certification Tracking</w:t>
      </w:r>
    </w:p>
    <w:p>
      <w:r>
        <w:t>Instead of recording certifications as a simple Yes or No, the system will track each certificate individually — including the certificate name, number, issuing authority, date of issue, and date of expiry. The uploaded certificate document will be linked directly to each record.</w:t>
      </w:r>
    </w:p>
    <w:p>
      <w:r>
        <w:t>The system will automatically monitor expiry dates and flag certificates that are expiring within 30, 60, or 90 days. A new alert section on the dashboard will highlight seafarers whose certifications require renewal, helping the Authority maintain fleet-wide compliance.</w:t>
      </w:r>
    </w:p>
    <w:p>
      <w:pPr>
        <w:pStyle w:val="Heading3"/>
      </w:pPr>
      <w:r>
        <w:t>Voyage &amp; Employment History</w:t>
      </w:r>
    </w:p>
    <w:p>
      <w:r>
        <w:t>A detailed record of each seafarer's voyages — including vessel name, ship type, shipping company, rank held, and dates of service. The system will automatically calculate total sea experience from these records, replacing the current manual entry. This provides a verifiable sea service history that can support Certificate of Competency applications.</w:t>
      </w:r>
    </w:p>
    <w:p>
      <w:pPr>
        <w:pStyle w:val="Heading3"/>
      </w:pPr>
      <w:r>
        <w:t>Medical Records</w:t>
      </w:r>
    </w:p>
    <w:p>
      <w:r>
        <w:t>Medical fitness will be tracked with full detail — examination date, expiry date, examining doctor and clinic, result (Fit, Unfit, or Fit with Restrictions), and the uploaded medical certificate. The system will alert staff when a seafarer's medical clearance is nearing expiry, ensuring no one is deployed without valid medical fitness.</w:t>
      </w:r>
    </w:p>
    <w:p>
      <w:r>
        <w:br w:type="page"/>
      </w:r>
    </w:p>
    <w:p>
      <w:pPr>
        <w:pStyle w:val="Heading2"/>
      </w:pPr>
      <w:r>
        <w:t>Phase 3 — Operational Tools</w:t>
      </w:r>
    </w:p>
    <w:p>
      <w:r>
        <w:t>These features improve day-to-day efficiency for staff using the system.</w:t>
      </w:r>
    </w:p>
    <w:p>
      <w:pPr>
        <w:pStyle w:val="Heading3"/>
      </w:pPr>
      <w:r>
        <w:t>Advanced Search &amp; Filtering</w:t>
      </w:r>
    </w:p>
    <w:p>
      <w:r>
        <w:t>A more powerful search system that allows staff to find records by any combination of criteria — name, rank, application status, date range, ship type, experience level, medical status, and certification status. Filters can be saved as presets for frequently used searches (e.g., "Pending Engine Cadets" or "Expiring Medicals"). Table columns will be sortable with a single click, and the number of results shown per page will be configurable.</w:t>
      </w:r>
    </w:p>
    <w:p>
      <w:pPr>
        <w:pStyle w:val="Heading3"/>
      </w:pPr>
      <w:r>
        <w:t>Activity &amp; Audit Log</w:t>
      </w:r>
    </w:p>
    <w:p>
      <w:r>
        <w:t>A complete record of all significant actions taken within the system — who logged in, who viewed or exported which records, and who approved or rejected which applications. This log will be accessible to administrators and can be filtered by staff member, action type, and date range. It provides the accountability and traceability expected of a government information system.</w:t>
      </w:r>
    </w:p>
    <w:p>
      <w:pPr>
        <w:pStyle w:val="Heading3"/>
      </w:pPr>
      <w:r>
        <w:t>Email Notifications</w:t>
      </w:r>
    </w:p>
    <w:p>
      <w:r>
        <w:t>Automated email notifications at key points in the process:</w:t>
      </w:r>
    </w:p>
    <w:p>
      <w:pPr>
        <w:pStyle w:val="ListBullet"/>
      </w:pPr>
      <w:r>
        <w:rPr>
          <w:b/>
        </w:rPr>
        <w:t xml:space="preserve">To seafarers — </w:t>
      </w:r>
      <w:r>
        <w:t>Confirmation when their application is submitted, and notification when their application is approved or rejected.</w:t>
      </w:r>
    </w:p>
    <w:p>
      <w:pPr>
        <w:pStyle w:val="ListBullet"/>
      </w:pPr>
      <w:r>
        <w:rPr>
          <w:b/>
        </w:rPr>
        <w:t xml:space="preserve">To reviewers — </w:t>
      </w:r>
      <w:r>
        <w:t>Alert when a new application is assigned to them for review.</w:t>
      </w:r>
    </w:p>
    <w:p>
      <w:pPr>
        <w:pStyle w:val="ListBullet"/>
      </w:pPr>
      <w:r>
        <w:rPr>
          <w:b/>
        </w:rPr>
        <w:t xml:space="preserve">To administrators — </w:t>
      </w:r>
      <w:r>
        <w:t>A weekly summary of pending applications and overall system activity.</w:t>
      </w:r>
    </w:p>
    <w:p>
      <w:pPr>
        <w:pStyle w:val="Heading3"/>
      </w:pPr>
      <w:r>
        <w:t>Administration Settings</w:t>
      </w:r>
    </w:p>
    <w:p>
      <w:r>
        <w:t>A settings page for administrators to control system behaviour — such as opening or closing the application form, configuring email delivery, and managing dropdown options (rank lists, ship types) without needing to involve a developer.</w:t>
      </w:r>
    </w:p>
    <w:p>
      <w:r>
        <w:br w:type="page"/>
      </w:r>
    </w:p>
    <w:p>
      <w:pPr>
        <w:pStyle w:val="Heading2"/>
      </w:pPr>
      <w:r>
        <w:t>Phase 4 — Finishing Touches</w:t>
      </w:r>
    </w:p>
    <w:p>
      <w:r>
        <w:t>These features add polish and convenience to the platform.</w:t>
      </w:r>
    </w:p>
    <w:p>
      <w:pPr>
        <w:pStyle w:val="Heading3"/>
      </w:pPr>
      <w:r>
        <w:t>Enhanced Reporting &amp; Printing</w:t>
      </w:r>
    </w:p>
    <w:p>
      <w:r>
        <w:t>Print-ready views for submission detail pages. The ability to generate PDF reports for multiple submissions at once (batch export). A seafarer ID card template with photo, name, rank, registration number, and a QR code. Charts on the reports page will include a "Download as Image" option for use in presentations and external reports.</w:t>
      </w:r>
    </w:p>
    <w:p>
      <w:pPr>
        <w:pStyle w:val="Heading3"/>
      </w:pPr>
      <w:r>
        <w:t>Data Import Tool</w:t>
      </w:r>
    </w:p>
    <w:p>
      <w:r>
        <w:t>A tool for importing seafarer records from spreadsheet files (CSV). Staff will be able to upload a file, map the columns to the correct fields, preview the data for errors, and import the records in bulk. This is especially useful for migrating historical data from other systems.</w:t>
      </w:r>
    </w:p>
    <w:p>
      <w:pPr>
        <w:pStyle w:val="Heading3"/>
      </w:pPr>
      <w:r>
        <w:t>Additional Improvements</w:t>
      </w:r>
    </w:p>
    <w:p>
      <w:pPr>
        <w:pStyle w:val="ListBullet"/>
      </w:pPr>
      <w:r>
        <w:rPr>
          <w:b/>
        </w:rPr>
        <w:t xml:space="preserve">Dark mode — </w:t>
      </w:r>
      <w:r>
        <w:t>An optional dark colour scheme that is easier on the eyes, toggled from the header.</w:t>
      </w:r>
    </w:p>
    <w:p>
      <w:pPr>
        <w:pStyle w:val="ListBullet"/>
      </w:pPr>
      <w:r>
        <w:rPr>
          <w:b/>
        </w:rPr>
        <w:t xml:space="preserve">Faster navigation — </w:t>
      </w:r>
      <w:r>
        <w:t>Filtering and pagination on the submissions page will update instantly without reloading the entire page.</w:t>
      </w:r>
    </w:p>
    <w:p>
      <w:pPr>
        <w:pStyle w:val="ListBullet"/>
      </w:pPr>
      <w:r>
        <w:rPr>
          <w:b/>
        </w:rPr>
        <w:t xml:space="preserve">Password reset — </w:t>
      </w:r>
      <w:r>
        <w:t>A "Forgot Password" option on the login page that sends a reset link via email.</w:t>
      </w:r>
    </w:p>
    <w:p>
      <w:pPr>
        <w:pStyle w:val="ListBullet"/>
      </w:pPr>
      <w:r>
        <w:rPr>
          <w:b/>
        </w:rPr>
        <w:t xml:space="preserve">Account security — </w:t>
      </w:r>
      <w:r>
        <w:t>Automatic lockout after multiple failed login attempts, and configurable password expiry.</w:t>
      </w:r>
    </w:p>
    <w:p>
      <w:r>
        <w:br w:type="page"/>
      </w:r>
    </w:p>
    <w:p>
      <w:pPr>
        <w:pStyle w:val="Heading1"/>
      </w:pPr>
      <w:r>
        <w:t>5. Implementation Timeline</w:t>
      </w:r>
    </w:p>
    <w:p>
      <w:r>
        <w:t>The work is structured so that each phase delivers usable features upon completion. Phases are sequential, but the scope and priority of later phases can be adjusted based on feedback from earlier ones.</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val="clear" w:color="auto" w:fill="003366"/>
          </w:tcPr>
          <w:p>
            <w:pPr>
              <w:jc w:val="left"/>
            </w:pPr>
            <w:r/>
            <w:r>
              <w:rPr>
                <w:rFonts w:ascii="Calibri" w:hAnsi="Calibri"/>
                <w:b/>
                <w:color w:val="FFFFFF"/>
                <w:sz w:val="20"/>
              </w:rPr>
              <w:t>Phase</w:t>
            </w:r>
          </w:p>
        </w:tc>
        <w:tc>
          <w:tcPr>
            <w:tcW w:type="dxa" w:w="5472"/>
            <w:shd w:val="clear" w:color="auto" w:fill="003366"/>
          </w:tcPr>
          <w:p>
            <w:pPr>
              <w:jc w:val="left"/>
            </w:pPr>
            <w:r/>
            <w:r>
              <w:rPr>
                <w:rFonts w:ascii="Calibri" w:hAnsi="Calibri"/>
                <w:b/>
                <w:color w:val="FFFFFF"/>
                <w:sz w:val="20"/>
              </w:rPr>
              <w:t>Focus Area</w:t>
            </w:r>
          </w:p>
        </w:tc>
        <w:tc>
          <w:tcPr>
            <w:tcW w:type="dxa" w:w="2448"/>
            <w:shd w:val="clear" w:color="auto" w:fill="003366"/>
          </w:tcPr>
          <w:p>
            <w:pPr>
              <w:jc w:val="left"/>
            </w:pPr>
            <w:r/>
            <w:r>
              <w:rPr>
                <w:rFonts w:ascii="Calibri" w:hAnsi="Calibri"/>
                <w:b/>
                <w:color w:val="FFFFFF"/>
                <w:sz w:val="20"/>
              </w:rPr>
              <w:t>Estimated Duration</w:t>
            </w:r>
          </w:p>
        </w:tc>
      </w:tr>
      <w:tr>
        <w:tc>
          <w:tcPr>
            <w:tcW w:type="dxa" w:w="1440"/>
          </w:tcPr>
          <w:p>
            <w:r/>
            <w:r>
              <w:rPr>
                <w:rFonts w:ascii="Calibri" w:hAnsi="Calibri"/>
                <w:sz w:val="20"/>
              </w:rPr>
              <w:t>Phase 1</w:t>
            </w:r>
          </w:p>
        </w:tc>
        <w:tc>
          <w:tcPr>
            <w:tcW w:type="dxa" w:w="5472"/>
          </w:tcPr>
          <w:p>
            <w:r/>
            <w:r>
              <w:rPr>
                <w:rFonts w:ascii="Calibri" w:hAnsi="Calibri"/>
                <w:sz w:val="20"/>
              </w:rPr>
              <w:t>Online registration, approval workflow, user management, document uploads</w:t>
            </w:r>
          </w:p>
        </w:tc>
        <w:tc>
          <w:tcPr>
            <w:tcW w:type="dxa" w:w="2448"/>
          </w:tcPr>
          <w:p>
            <w:r/>
            <w:r>
              <w:rPr>
                <w:rFonts w:ascii="Calibri" w:hAnsi="Calibri"/>
                <w:sz w:val="20"/>
              </w:rPr>
              <w:t>4 – 6 weeks</w:t>
            </w:r>
          </w:p>
        </w:tc>
      </w:tr>
      <w:tr>
        <w:tc>
          <w:tcPr>
            <w:tcW w:type="dxa" w:w="1440"/>
            <w:shd w:val="clear" w:color="auto" w:fill="F4F7F6"/>
          </w:tcPr>
          <w:p>
            <w:r/>
            <w:r>
              <w:rPr>
                <w:rFonts w:ascii="Calibri" w:hAnsi="Calibri"/>
                <w:sz w:val="20"/>
              </w:rPr>
              <w:t>Phase 2</w:t>
            </w:r>
          </w:p>
        </w:tc>
        <w:tc>
          <w:tcPr>
            <w:tcW w:type="dxa" w:w="5472"/>
            <w:shd w:val="clear" w:color="auto" w:fill="F4F7F6"/>
          </w:tcPr>
          <w:p>
            <w:r/>
            <w:r>
              <w:rPr>
                <w:rFonts w:ascii="Calibri" w:hAnsi="Calibri"/>
                <w:sz w:val="20"/>
              </w:rPr>
              <w:t>Enhanced profiles, certification tracking, voyage history, medical records</w:t>
            </w:r>
          </w:p>
        </w:tc>
        <w:tc>
          <w:tcPr>
            <w:tcW w:type="dxa" w:w="2448"/>
            <w:shd w:val="clear" w:color="auto" w:fill="F4F7F6"/>
          </w:tcPr>
          <w:p>
            <w:r/>
            <w:r>
              <w:rPr>
                <w:rFonts w:ascii="Calibri" w:hAnsi="Calibri"/>
                <w:sz w:val="20"/>
              </w:rPr>
              <w:t>3 – 4 weeks</w:t>
            </w:r>
          </w:p>
        </w:tc>
      </w:tr>
      <w:tr>
        <w:tc>
          <w:tcPr>
            <w:tcW w:type="dxa" w:w="1440"/>
          </w:tcPr>
          <w:p>
            <w:r/>
            <w:r>
              <w:rPr>
                <w:rFonts w:ascii="Calibri" w:hAnsi="Calibri"/>
                <w:sz w:val="20"/>
              </w:rPr>
              <w:t>Phase 3</w:t>
            </w:r>
          </w:p>
        </w:tc>
        <w:tc>
          <w:tcPr>
            <w:tcW w:type="dxa" w:w="5472"/>
          </w:tcPr>
          <w:p>
            <w:r/>
            <w:r>
              <w:rPr>
                <w:rFonts w:ascii="Calibri" w:hAnsi="Calibri"/>
                <w:sz w:val="20"/>
              </w:rPr>
              <w:t>Advanced search, audit log, email notifications, admin settings</w:t>
            </w:r>
          </w:p>
        </w:tc>
        <w:tc>
          <w:tcPr>
            <w:tcW w:type="dxa" w:w="2448"/>
          </w:tcPr>
          <w:p>
            <w:r/>
            <w:r>
              <w:rPr>
                <w:rFonts w:ascii="Calibri" w:hAnsi="Calibri"/>
                <w:sz w:val="20"/>
              </w:rPr>
              <w:t>3 – 4 weeks</w:t>
            </w:r>
          </w:p>
        </w:tc>
      </w:tr>
      <w:tr>
        <w:tc>
          <w:tcPr>
            <w:tcW w:type="dxa" w:w="1440"/>
            <w:shd w:val="clear" w:color="auto" w:fill="F4F7F6"/>
          </w:tcPr>
          <w:p>
            <w:r/>
            <w:r>
              <w:rPr>
                <w:rFonts w:ascii="Calibri" w:hAnsi="Calibri"/>
                <w:sz w:val="20"/>
              </w:rPr>
              <w:t>Phase 4</w:t>
            </w:r>
          </w:p>
        </w:tc>
        <w:tc>
          <w:tcPr>
            <w:tcW w:type="dxa" w:w="5472"/>
            <w:shd w:val="clear" w:color="auto" w:fill="F4F7F6"/>
          </w:tcPr>
          <w:p>
            <w:r/>
            <w:r>
              <w:rPr>
                <w:rFonts w:ascii="Calibri" w:hAnsi="Calibri"/>
                <w:sz w:val="20"/>
              </w:rPr>
              <w:t>Reporting enhancements, data import, dark mode, password management</w:t>
            </w:r>
          </w:p>
        </w:tc>
        <w:tc>
          <w:tcPr>
            <w:tcW w:type="dxa" w:w="2448"/>
            <w:shd w:val="clear" w:color="auto" w:fill="F4F7F6"/>
          </w:tcPr>
          <w:p>
            <w:r/>
            <w:r>
              <w:rPr>
                <w:rFonts w:ascii="Calibri" w:hAnsi="Calibri"/>
                <w:sz w:val="20"/>
              </w:rPr>
              <w:t>2 – 3 weeks</w:t>
            </w:r>
          </w:p>
        </w:tc>
      </w:tr>
      <w:tr>
        <w:tc>
          <w:tcPr>
            <w:tcW w:type="dxa" w:w="1440"/>
          </w:tcPr>
          <w:p>
            <w:r/>
            <w:r>
              <w:rPr>
                <w:rFonts w:ascii="Calibri" w:hAnsi="Calibri"/>
                <w:sz w:val="20"/>
              </w:rPr>
              <w:t>Total</w:t>
            </w:r>
          </w:p>
        </w:tc>
        <w:tc>
          <w:tcPr>
            <w:tcW w:type="dxa" w:w="5472"/>
          </w:tcPr>
          <w:p>
            <w:r/>
            <w:r>
              <w:rPr>
                <w:rFonts w:ascii="Calibri" w:hAnsi="Calibri"/>
                <w:sz w:val="20"/>
              </w:rPr>
            </w:r>
          </w:p>
        </w:tc>
        <w:tc>
          <w:tcPr>
            <w:tcW w:type="dxa" w:w="2448"/>
          </w:tcPr>
          <w:p>
            <w:r/>
            <w:r>
              <w:rPr>
                <w:rFonts w:ascii="Calibri" w:hAnsi="Calibri"/>
                <w:sz w:val="20"/>
              </w:rPr>
              <w:t>12 – 17 weeks</w:t>
            </w:r>
          </w:p>
        </w:tc>
      </w:tr>
    </w:tbl>
    <w:p/>
    <w:p>
      <w:r>
        <w:t>Each phase will conclude with a demonstration and handover session. Any adjustments to scope or priority can be discussed between phases to ensure the system evolves in line with the Authority's operational needs.</w:t>
      </w:r>
    </w:p>
    <w:p>
      <w:r>
        <w:br w:type="page"/>
      </w:r>
    </w:p>
    <w:p>
      <w:pPr>
        <w:pStyle w:val="Heading1"/>
      </w:pPr>
      <w:r>
        <w:t>6. Summary of Deliverables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val="clear" w:color="auto" w:fill="003366"/>
          </w:tcPr>
          <w:p>
            <w:pPr>
              <w:jc w:val="left"/>
            </w:pPr>
            <w:r/>
            <w:r>
              <w:rPr>
                <w:rFonts w:ascii="Calibri" w:hAnsi="Calibri"/>
                <w:b/>
                <w:color w:val="FFFFFF"/>
                <w:sz w:val="20"/>
              </w:rPr>
              <w:t>#</w:t>
            </w:r>
          </w:p>
        </w:tc>
        <w:tc>
          <w:tcPr>
            <w:tcW w:type="dxa" w:w="4752"/>
            <w:shd w:val="clear" w:color="auto" w:fill="003366"/>
          </w:tcPr>
          <w:p>
            <w:pPr>
              <w:jc w:val="left"/>
            </w:pPr>
            <w:r/>
            <w:r>
              <w:rPr>
                <w:rFonts w:ascii="Calibri" w:hAnsi="Calibri"/>
                <w:b/>
                <w:color w:val="FFFFFF"/>
                <w:sz w:val="20"/>
              </w:rPr>
              <w:t>Deliverable</w:t>
            </w:r>
          </w:p>
        </w:tc>
        <w:tc>
          <w:tcPr>
            <w:tcW w:type="dxa" w:w="1152"/>
            <w:shd w:val="clear" w:color="auto" w:fill="003366"/>
          </w:tcPr>
          <w:p>
            <w:pPr>
              <w:jc w:val="left"/>
            </w:pPr>
            <w:r/>
            <w:r>
              <w:rPr>
                <w:rFonts w:ascii="Calibri" w:hAnsi="Calibri"/>
                <w:b/>
                <w:color w:val="FFFFFF"/>
                <w:sz w:val="20"/>
              </w:rPr>
              <w:t>Phase</w:t>
            </w:r>
          </w:p>
        </w:tc>
        <w:tc>
          <w:tcPr>
            <w:tcW w:type="dxa" w:w="1440"/>
            <w:shd w:val="clear" w:color="auto" w:fill="003366"/>
          </w:tcPr>
          <w:p>
            <w:pPr>
              <w:jc w:val="left"/>
            </w:pPr>
            <w:r/>
            <w:r>
              <w:rPr>
                <w:rFonts w:ascii="Calibri" w:hAnsi="Calibri"/>
                <w:b/>
                <w:color w:val="FFFFFF"/>
                <w:sz w:val="20"/>
              </w:rPr>
              <w:t>Priority</w:t>
            </w:r>
          </w:p>
        </w:tc>
      </w:tr>
      <w:tr>
        <w:tc>
          <w:tcPr>
            <w:tcW w:type="dxa" w:w="576"/>
          </w:tcPr>
          <w:p>
            <w:r/>
            <w:r>
              <w:rPr>
                <w:rFonts w:ascii="Calibri" w:hAnsi="Calibri"/>
                <w:sz w:val="20"/>
              </w:rPr>
              <w:t>1</w:t>
            </w:r>
          </w:p>
        </w:tc>
        <w:tc>
          <w:tcPr>
            <w:tcW w:type="dxa" w:w="4752"/>
          </w:tcPr>
          <w:p>
            <w:r/>
            <w:r>
              <w:rPr>
                <w:rFonts w:ascii="Calibri" w:hAnsi="Calibri"/>
                <w:sz w:val="20"/>
              </w:rPr>
              <w:t>Online Seafarer Registration Form</w:t>
            </w:r>
          </w:p>
        </w:tc>
        <w:tc>
          <w:tcPr>
            <w:tcW w:type="dxa" w:w="1152"/>
          </w:tcPr>
          <w:p>
            <w:r/>
            <w:r>
              <w:rPr>
                <w:rFonts w:ascii="Calibri" w:hAnsi="Calibri"/>
                <w:sz w:val="20"/>
              </w:rPr>
              <w:t>1</w:t>
            </w:r>
          </w:p>
        </w:tc>
        <w:tc>
          <w:tcPr>
            <w:tcW w:type="dxa" w:w="1440"/>
          </w:tcPr>
          <w:p>
            <w:r/>
            <w:r>
              <w:rPr>
                <w:rFonts w:ascii="Calibri" w:hAnsi="Calibri"/>
                <w:sz w:val="20"/>
              </w:rPr>
              <w:t>Critical</w:t>
            </w:r>
          </w:p>
        </w:tc>
      </w:tr>
      <w:tr>
        <w:tc>
          <w:tcPr>
            <w:tcW w:type="dxa" w:w="576"/>
            <w:shd w:val="clear" w:color="auto" w:fill="F4F7F6"/>
          </w:tcPr>
          <w:p>
            <w:r/>
            <w:r>
              <w:rPr>
                <w:rFonts w:ascii="Calibri" w:hAnsi="Calibri"/>
                <w:sz w:val="20"/>
              </w:rPr>
              <w:t>2</w:t>
            </w:r>
          </w:p>
        </w:tc>
        <w:tc>
          <w:tcPr>
            <w:tcW w:type="dxa" w:w="4752"/>
            <w:shd w:val="clear" w:color="auto" w:fill="F4F7F6"/>
          </w:tcPr>
          <w:p>
            <w:r/>
            <w:r>
              <w:rPr>
                <w:rFonts w:ascii="Calibri" w:hAnsi="Calibri"/>
                <w:sz w:val="20"/>
              </w:rPr>
              <w:t>Application Review &amp; Approval Workflow</w:t>
            </w:r>
          </w:p>
        </w:tc>
        <w:tc>
          <w:tcPr>
            <w:tcW w:type="dxa" w:w="1152"/>
            <w:shd w:val="clear" w:color="auto" w:fill="F4F7F6"/>
          </w:tcPr>
          <w:p>
            <w:r/>
            <w:r>
              <w:rPr>
                <w:rFonts w:ascii="Calibri" w:hAnsi="Calibri"/>
                <w:sz w:val="20"/>
              </w:rPr>
              <w:t>1</w:t>
            </w:r>
          </w:p>
        </w:tc>
        <w:tc>
          <w:tcPr>
            <w:tcW w:type="dxa" w:w="1440"/>
            <w:shd w:val="clear" w:color="auto" w:fill="F4F7F6"/>
          </w:tcPr>
          <w:p>
            <w:r/>
            <w:r>
              <w:rPr>
                <w:rFonts w:ascii="Calibri" w:hAnsi="Calibri"/>
                <w:sz w:val="20"/>
              </w:rPr>
              <w:t>Critical</w:t>
            </w:r>
          </w:p>
        </w:tc>
      </w:tr>
      <w:tr>
        <w:tc>
          <w:tcPr>
            <w:tcW w:type="dxa" w:w="576"/>
          </w:tcPr>
          <w:p>
            <w:r/>
            <w:r>
              <w:rPr>
                <w:rFonts w:ascii="Calibri" w:hAnsi="Calibri"/>
                <w:sz w:val="20"/>
              </w:rPr>
              <w:t>3</w:t>
            </w:r>
          </w:p>
        </w:tc>
        <w:tc>
          <w:tcPr>
            <w:tcW w:type="dxa" w:w="4752"/>
          </w:tcPr>
          <w:p>
            <w:r/>
            <w:r>
              <w:rPr>
                <w:rFonts w:ascii="Calibri" w:hAnsi="Calibri"/>
                <w:sz w:val="20"/>
              </w:rPr>
              <w:t>User Management Interface</w:t>
            </w:r>
          </w:p>
        </w:tc>
        <w:tc>
          <w:tcPr>
            <w:tcW w:type="dxa" w:w="1152"/>
          </w:tcPr>
          <w:p>
            <w:r/>
            <w:r>
              <w:rPr>
                <w:rFonts w:ascii="Calibri" w:hAnsi="Calibri"/>
                <w:sz w:val="20"/>
              </w:rPr>
              <w:t>1</w:t>
            </w:r>
          </w:p>
        </w:tc>
        <w:tc>
          <w:tcPr>
            <w:tcW w:type="dxa" w:w="1440"/>
          </w:tcPr>
          <w:p>
            <w:r/>
            <w:r>
              <w:rPr>
                <w:rFonts w:ascii="Calibri" w:hAnsi="Calibri"/>
                <w:sz w:val="20"/>
              </w:rPr>
              <w:t>Critical</w:t>
            </w:r>
          </w:p>
        </w:tc>
      </w:tr>
      <w:tr>
        <w:tc>
          <w:tcPr>
            <w:tcW w:type="dxa" w:w="576"/>
            <w:shd w:val="clear" w:color="auto" w:fill="F4F7F6"/>
          </w:tcPr>
          <w:p>
            <w:r/>
            <w:r>
              <w:rPr>
                <w:rFonts w:ascii="Calibri" w:hAnsi="Calibri"/>
                <w:sz w:val="20"/>
              </w:rPr>
              <w:t>4</w:t>
            </w:r>
          </w:p>
        </w:tc>
        <w:tc>
          <w:tcPr>
            <w:tcW w:type="dxa" w:w="4752"/>
            <w:shd w:val="clear" w:color="auto" w:fill="F4F7F6"/>
          </w:tcPr>
          <w:p>
            <w:r/>
            <w:r>
              <w:rPr>
                <w:rFonts w:ascii="Calibri" w:hAnsi="Calibri"/>
                <w:sz w:val="20"/>
              </w:rPr>
              <w:t>Document Upload &amp; Storage</w:t>
            </w:r>
          </w:p>
        </w:tc>
        <w:tc>
          <w:tcPr>
            <w:tcW w:type="dxa" w:w="1152"/>
            <w:shd w:val="clear" w:color="auto" w:fill="F4F7F6"/>
          </w:tcPr>
          <w:p>
            <w:r/>
            <w:r>
              <w:rPr>
                <w:rFonts w:ascii="Calibri" w:hAnsi="Calibri"/>
                <w:sz w:val="20"/>
              </w:rPr>
              <w:t>1</w:t>
            </w:r>
          </w:p>
        </w:tc>
        <w:tc>
          <w:tcPr>
            <w:tcW w:type="dxa" w:w="1440"/>
            <w:shd w:val="clear" w:color="auto" w:fill="F4F7F6"/>
          </w:tcPr>
          <w:p>
            <w:r/>
            <w:r>
              <w:rPr>
                <w:rFonts w:ascii="Calibri" w:hAnsi="Calibri"/>
                <w:sz w:val="20"/>
              </w:rPr>
              <w:t>Critical</w:t>
            </w:r>
          </w:p>
        </w:tc>
      </w:tr>
      <w:tr>
        <w:tc>
          <w:tcPr>
            <w:tcW w:type="dxa" w:w="576"/>
          </w:tcPr>
          <w:p>
            <w:r/>
            <w:r>
              <w:rPr>
                <w:rFonts w:ascii="Calibri" w:hAnsi="Calibri"/>
                <w:sz w:val="20"/>
              </w:rPr>
              <w:t>5</w:t>
            </w:r>
          </w:p>
        </w:tc>
        <w:tc>
          <w:tcPr>
            <w:tcW w:type="dxa" w:w="4752"/>
          </w:tcPr>
          <w:p>
            <w:r/>
            <w:r>
              <w:rPr>
                <w:rFonts w:ascii="Calibri" w:hAnsi="Calibri"/>
                <w:sz w:val="20"/>
              </w:rPr>
              <w:t>Enhanced Seafarer Profile Information</w:t>
            </w:r>
          </w:p>
        </w:tc>
        <w:tc>
          <w:tcPr>
            <w:tcW w:type="dxa" w:w="1152"/>
          </w:tcPr>
          <w:p>
            <w:r/>
            <w:r>
              <w:rPr>
                <w:rFonts w:ascii="Calibri" w:hAnsi="Calibri"/>
                <w:sz w:val="20"/>
              </w:rPr>
              <w:t>2</w:t>
            </w:r>
          </w:p>
        </w:tc>
        <w:tc>
          <w:tcPr>
            <w:tcW w:type="dxa" w:w="1440"/>
          </w:tcPr>
          <w:p>
            <w:r/>
            <w:r>
              <w:rPr>
                <w:rFonts w:ascii="Calibri" w:hAnsi="Calibri"/>
                <w:sz w:val="20"/>
              </w:rPr>
              <w:t>High</w:t>
            </w:r>
          </w:p>
        </w:tc>
      </w:tr>
      <w:tr>
        <w:tc>
          <w:tcPr>
            <w:tcW w:type="dxa" w:w="576"/>
            <w:shd w:val="clear" w:color="auto" w:fill="F4F7F6"/>
          </w:tcPr>
          <w:p>
            <w:r/>
            <w:r>
              <w:rPr>
                <w:rFonts w:ascii="Calibri" w:hAnsi="Calibri"/>
                <w:sz w:val="20"/>
              </w:rPr>
              <w:t>6</w:t>
            </w:r>
          </w:p>
        </w:tc>
        <w:tc>
          <w:tcPr>
            <w:tcW w:type="dxa" w:w="4752"/>
            <w:shd w:val="clear" w:color="auto" w:fill="F4F7F6"/>
          </w:tcPr>
          <w:p>
            <w:r/>
            <w:r>
              <w:rPr>
                <w:rFonts w:ascii="Calibri" w:hAnsi="Calibri"/>
                <w:sz w:val="20"/>
              </w:rPr>
              <w:t>Certification Lifecycle Tracking</w:t>
            </w:r>
          </w:p>
        </w:tc>
        <w:tc>
          <w:tcPr>
            <w:tcW w:type="dxa" w:w="1152"/>
            <w:shd w:val="clear" w:color="auto" w:fill="F4F7F6"/>
          </w:tcPr>
          <w:p>
            <w:r/>
            <w:r>
              <w:rPr>
                <w:rFonts w:ascii="Calibri" w:hAnsi="Calibri"/>
                <w:sz w:val="20"/>
              </w:rPr>
              <w:t>2</w:t>
            </w:r>
          </w:p>
        </w:tc>
        <w:tc>
          <w:tcPr>
            <w:tcW w:type="dxa" w:w="1440"/>
            <w:shd w:val="clear" w:color="auto" w:fill="F4F7F6"/>
          </w:tcPr>
          <w:p>
            <w:r/>
            <w:r>
              <w:rPr>
                <w:rFonts w:ascii="Calibri" w:hAnsi="Calibri"/>
                <w:sz w:val="20"/>
              </w:rPr>
              <w:t>High</w:t>
            </w:r>
          </w:p>
        </w:tc>
      </w:tr>
      <w:tr>
        <w:tc>
          <w:tcPr>
            <w:tcW w:type="dxa" w:w="576"/>
          </w:tcPr>
          <w:p>
            <w:r/>
            <w:r>
              <w:rPr>
                <w:rFonts w:ascii="Calibri" w:hAnsi="Calibri"/>
                <w:sz w:val="20"/>
              </w:rPr>
              <w:t>7</w:t>
            </w:r>
          </w:p>
        </w:tc>
        <w:tc>
          <w:tcPr>
            <w:tcW w:type="dxa" w:w="4752"/>
          </w:tcPr>
          <w:p>
            <w:r/>
            <w:r>
              <w:rPr>
                <w:rFonts w:ascii="Calibri" w:hAnsi="Calibri"/>
                <w:sz w:val="20"/>
              </w:rPr>
              <w:t>Voyage &amp; Employment History</w:t>
            </w:r>
          </w:p>
        </w:tc>
        <w:tc>
          <w:tcPr>
            <w:tcW w:type="dxa" w:w="1152"/>
          </w:tcPr>
          <w:p>
            <w:r/>
            <w:r>
              <w:rPr>
                <w:rFonts w:ascii="Calibri" w:hAnsi="Calibri"/>
                <w:sz w:val="20"/>
              </w:rPr>
              <w:t>2</w:t>
            </w:r>
          </w:p>
        </w:tc>
        <w:tc>
          <w:tcPr>
            <w:tcW w:type="dxa" w:w="1440"/>
          </w:tcPr>
          <w:p>
            <w:r/>
            <w:r>
              <w:rPr>
                <w:rFonts w:ascii="Calibri" w:hAnsi="Calibri"/>
                <w:sz w:val="20"/>
              </w:rPr>
              <w:t>High</w:t>
            </w:r>
          </w:p>
        </w:tc>
      </w:tr>
      <w:tr>
        <w:tc>
          <w:tcPr>
            <w:tcW w:type="dxa" w:w="576"/>
            <w:shd w:val="clear" w:color="auto" w:fill="F4F7F6"/>
          </w:tcPr>
          <w:p>
            <w:r/>
            <w:r>
              <w:rPr>
                <w:rFonts w:ascii="Calibri" w:hAnsi="Calibri"/>
                <w:sz w:val="20"/>
              </w:rPr>
              <w:t>8</w:t>
            </w:r>
          </w:p>
        </w:tc>
        <w:tc>
          <w:tcPr>
            <w:tcW w:type="dxa" w:w="4752"/>
            <w:shd w:val="clear" w:color="auto" w:fill="F4F7F6"/>
          </w:tcPr>
          <w:p>
            <w:r/>
            <w:r>
              <w:rPr>
                <w:rFonts w:ascii="Calibri" w:hAnsi="Calibri"/>
                <w:sz w:val="20"/>
              </w:rPr>
              <w:t>Medical Records Management</w:t>
            </w:r>
          </w:p>
        </w:tc>
        <w:tc>
          <w:tcPr>
            <w:tcW w:type="dxa" w:w="1152"/>
            <w:shd w:val="clear" w:color="auto" w:fill="F4F7F6"/>
          </w:tcPr>
          <w:p>
            <w:r/>
            <w:r>
              <w:rPr>
                <w:rFonts w:ascii="Calibri" w:hAnsi="Calibri"/>
                <w:sz w:val="20"/>
              </w:rPr>
              <w:t>2</w:t>
            </w:r>
          </w:p>
        </w:tc>
        <w:tc>
          <w:tcPr>
            <w:tcW w:type="dxa" w:w="1440"/>
            <w:shd w:val="clear" w:color="auto" w:fill="F4F7F6"/>
          </w:tcPr>
          <w:p>
            <w:r/>
            <w:r>
              <w:rPr>
                <w:rFonts w:ascii="Calibri" w:hAnsi="Calibri"/>
                <w:sz w:val="20"/>
              </w:rPr>
              <w:t>High</w:t>
            </w:r>
          </w:p>
        </w:tc>
      </w:tr>
      <w:tr>
        <w:tc>
          <w:tcPr>
            <w:tcW w:type="dxa" w:w="576"/>
          </w:tcPr>
          <w:p>
            <w:r/>
            <w:r>
              <w:rPr>
                <w:rFonts w:ascii="Calibri" w:hAnsi="Calibri"/>
                <w:sz w:val="20"/>
              </w:rPr>
              <w:t>9</w:t>
            </w:r>
          </w:p>
        </w:tc>
        <w:tc>
          <w:tcPr>
            <w:tcW w:type="dxa" w:w="4752"/>
          </w:tcPr>
          <w:p>
            <w:r/>
            <w:r>
              <w:rPr>
                <w:rFonts w:ascii="Calibri" w:hAnsi="Calibri"/>
                <w:sz w:val="20"/>
              </w:rPr>
              <w:t>Advanced Search &amp; Filtering</w:t>
            </w:r>
          </w:p>
        </w:tc>
        <w:tc>
          <w:tcPr>
            <w:tcW w:type="dxa" w:w="1152"/>
          </w:tcPr>
          <w:p>
            <w:r/>
            <w:r>
              <w:rPr>
                <w:rFonts w:ascii="Calibri" w:hAnsi="Calibri"/>
                <w:sz w:val="20"/>
              </w:rPr>
              <w:t>3</w:t>
            </w:r>
          </w:p>
        </w:tc>
        <w:tc>
          <w:tcPr>
            <w:tcW w:type="dxa" w:w="1440"/>
          </w:tcPr>
          <w:p>
            <w:r/>
            <w:r>
              <w:rPr>
                <w:rFonts w:ascii="Calibri" w:hAnsi="Calibri"/>
                <w:sz w:val="20"/>
              </w:rPr>
              <w:t>Medium</w:t>
            </w:r>
          </w:p>
        </w:tc>
      </w:tr>
      <w:tr>
        <w:tc>
          <w:tcPr>
            <w:tcW w:type="dxa" w:w="576"/>
            <w:shd w:val="clear" w:color="auto" w:fill="F4F7F6"/>
          </w:tcPr>
          <w:p>
            <w:r/>
            <w:r>
              <w:rPr>
                <w:rFonts w:ascii="Calibri" w:hAnsi="Calibri"/>
                <w:sz w:val="20"/>
              </w:rPr>
              <w:t>10</w:t>
            </w:r>
          </w:p>
        </w:tc>
        <w:tc>
          <w:tcPr>
            <w:tcW w:type="dxa" w:w="4752"/>
            <w:shd w:val="clear" w:color="auto" w:fill="F4F7F6"/>
          </w:tcPr>
          <w:p>
            <w:r/>
            <w:r>
              <w:rPr>
                <w:rFonts w:ascii="Calibri" w:hAnsi="Calibri"/>
                <w:sz w:val="20"/>
              </w:rPr>
              <w:t>Activity &amp; Audit Log</w:t>
            </w:r>
          </w:p>
        </w:tc>
        <w:tc>
          <w:tcPr>
            <w:tcW w:type="dxa" w:w="1152"/>
            <w:shd w:val="clear" w:color="auto" w:fill="F4F7F6"/>
          </w:tcPr>
          <w:p>
            <w:r/>
            <w:r>
              <w:rPr>
                <w:rFonts w:ascii="Calibri" w:hAnsi="Calibri"/>
                <w:sz w:val="20"/>
              </w:rPr>
              <w:t>3</w:t>
            </w:r>
          </w:p>
        </w:tc>
        <w:tc>
          <w:tcPr>
            <w:tcW w:type="dxa" w:w="1440"/>
            <w:shd w:val="clear" w:color="auto" w:fill="F4F7F6"/>
          </w:tcPr>
          <w:p>
            <w:r/>
            <w:r>
              <w:rPr>
                <w:rFonts w:ascii="Calibri" w:hAnsi="Calibri"/>
                <w:sz w:val="20"/>
              </w:rPr>
              <w:t>Medium</w:t>
            </w:r>
          </w:p>
        </w:tc>
      </w:tr>
      <w:tr>
        <w:tc>
          <w:tcPr>
            <w:tcW w:type="dxa" w:w="576"/>
          </w:tcPr>
          <w:p>
            <w:r/>
            <w:r>
              <w:rPr>
                <w:rFonts w:ascii="Calibri" w:hAnsi="Calibri"/>
                <w:sz w:val="20"/>
              </w:rPr>
              <w:t>11</w:t>
            </w:r>
          </w:p>
        </w:tc>
        <w:tc>
          <w:tcPr>
            <w:tcW w:type="dxa" w:w="4752"/>
          </w:tcPr>
          <w:p>
            <w:r/>
            <w:r>
              <w:rPr>
                <w:rFonts w:ascii="Calibri" w:hAnsi="Calibri"/>
                <w:sz w:val="20"/>
              </w:rPr>
              <w:t>Email Notification System</w:t>
            </w:r>
          </w:p>
        </w:tc>
        <w:tc>
          <w:tcPr>
            <w:tcW w:type="dxa" w:w="1152"/>
          </w:tcPr>
          <w:p>
            <w:r/>
            <w:r>
              <w:rPr>
                <w:rFonts w:ascii="Calibri" w:hAnsi="Calibri"/>
                <w:sz w:val="20"/>
              </w:rPr>
              <w:t>3</w:t>
            </w:r>
          </w:p>
        </w:tc>
        <w:tc>
          <w:tcPr>
            <w:tcW w:type="dxa" w:w="1440"/>
          </w:tcPr>
          <w:p>
            <w:r/>
            <w:r>
              <w:rPr>
                <w:rFonts w:ascii="Calibri" w:hAnsi="Calibri"/>
                <w:sz w:val="20"/>
              </w:rPr>
              <w:t>Medium</w:t>
            </w:r>
          </w:p>
        </w:tc>
      </w:tr>
      <w:tr>
        <w:tc>
          <w:tcPr>
            <w:tcW w:type="dxa" w:w="576"/>
            <w:shd w:val="clear" w:color="auto" w:fill="F4F7F6"/>
          </w:tcPr>
          <w:p>
            <w:r/>
            <w:r>
              <w:rPr>
                <w:rFonts w:ascii="Calibri" w:hAnsi="Calibri"/>
                <w:sz w:val="20"/>
              </w:rPr>
              <w:t>12</w:t>
            </w:r>
          </w:p>
        </w:tc>
        <w:tc>
          <w:tcPr>
            <w:tcW w:type="dxa" w:w="4752"/>
            <w:shd w:val="clear" w:color="auto" w:fill="F4F7F6"/>
          </w:tcPr>
          <w:p>
            <w:r/>
            <w:r>
              <w:rPr>
                <w:rFonts w:ascii="Calibri" w:hAnsi="Calibri"/>
                <w:sz w:val="20"/>
              </w:rPr>
              <w:t>Administration Settings Page</w:t>
            </w:r>
          </w:p>
        </w:tc>
        <w:tc>
          <w:tcPr>
            <w:tcW w:type="dxa" w:w="1152"/>
            <w:shd w:val="clear" w:color="auto" w:fill="F4F7F6"/>
          </w:tcPr>
          <w:p>
            <w:r/>
            <w:r>
              <w:rPr>
                <w:rFonts w:ascii="Calibri" w:hAnsi="Calibri"/>
                <w:sz w:val="20"/>
              </w:rPr>
              <w:t>3</w:t>
            </w:r>
          </w:p>
        </w:tc>
        <w:tc>
          <w:tcPr>
            <w:tcW w:type="dxa" w:w="1440"/>
            <w:shd w:val="clear" w:color="auto" w:fill="F4F7F6"/>
          </w:tcPr>
          <w:p>
            <w:r/>
            <w:r>
              <w:rPr>
                <w:rFonts w:ascii="Calibri" w:hAnsi="Calibri"/>
                <w:sz w:val="20"/>
              </w:rPr>
              <w:t>Medium</w:t>
            </w:r>
          </w:p>
        </w:tc>
      </w:tr>
      <w:tr>
        <w:tc>
          <w:tcPr>
            <w:tcW w:type="dxa" w:w="576"/>
          </w:tcPr>
          <w:p>
            <w:r/>
            <w:r>
              <w:rPr>
                <w:rFonts w:ascii="Calibri" w:hAnsi="Calibri"/>
                <w:sz w:val="20"/>
              </w:rPr>
              <w:t>13</w:t>
            </w:r>
          </w:p>
        </w:tc>
        <w:tc>
          <w:tcPr>
            <w:tcW w:type="dxa" w:w="4752"/>
          </w:tcPr>
          <w:p>
            <w:r/>
            <w:r>
              <w:rPr>
                <w:rFonts w:ascii="Calibri" w:hAnsi="Calibri"/>
                <w:sz w:val="20"/>
              </w:rPr>
              <w:t>Enhanced Reporting &amp; Batch Printing</w:t>
            </w:r>
          </w:p>
        </w:tc>
        <w:tc>
          <w:tcPr>
            <w:tcW w:type="dxa" w:w="1152"/>
          </w:tcPr>
          <w:p>
            <w:r/>
            <w:r>
              <w:rPr>
                <w:rFonts w:ascii="Calibri" w:hAnsi="Calibri"/>
                <w:sz w:val="20"/>
              </w:rPr>
              <w:t>4</w:t>
            </w:r>
          </w:p>
        </w:tc>
        <w:tc>
          <w:tcPr>
            <w:tcW w:type="dxa" w:w="1440"/>
          </w:tcPr>
          <w:p>
            <w:r/>
            <w:r>
              <w:rPr>
                <w:rFonts w:ascii="Calibri" w:hAnsi="Calibri"/>
                <w:sz w:val="20"/>
              </w:rPr>
              <w:t>Standard</w:t>
            </w:r>
          </w:p>
        </w:tc>
      </w:tr>
      <w:tr>
        <w:tc>
          <w:tcPr>
            <w:tcW w:type="dxa" w:w="576"/>
            <w:shd w:val="clear" w:color="auto" w:fill="F4F7F6"/>
          </w:tcPr>
          <w:p>
            <w:r/>
            <w:r>
              <w:rPr>
                <w:rFonts w:ascii="Calibri" w:hAnsi="Calibri"/>
                <w:sz w:val="20"/>
              </w:rPr>
              <w:t>14</w:t>
            </w:r>
          </w:p>
        </w:tc>
        <w:tc>
          <w:tcPr>
            <w:tcW w:type="dxa" w:w="4752"/>
            <w:shd w:val="clear" w:color="auto" w:fill="F4F7F6"/>
          </w:tcPr>
          <w:p>
            <w:r/>
            <w:r>
              <w:rPr>
                <w:rFonts w:ascii="Calibri" w:hAnsi="Calibri"/>
                <w:sz w:val="20"/>
              </w:rPr>
              <w:t>Spreadsheet Data Import Tool</w:t>
            </w:r>
          </w:p>
        </w:tc>
        <w:tc>
          <w:tcPr>
            <w:tcW w:type="dxa" w:w="1152"/>
            <w:shd w:val="clear" w:color="auto" w:fill="F4F7F6"/>
          </w:tcPr>
          <w:p>
            <w:r/>
            <w:r>
              <w:rPr>
                <w:rFonts w:ascii="Calibri" w:hAnsi="Calibri"/>
                <w:sz w:val="20"/>
              </w:rPr>
              <w:t>4</w:t>
            </w:r>
          </w:p>
        </w:tc>
        <w:tc>
          <w:tcPr>
            <w:tcW w:type="dxa" w:w="1440"/>
            <w:shd w:val="clear" w:color="auto" w:fill="F4F7F6"/>
          </w:tcPr>
          <w:p>
            <w:r/>
            <w:r>
              <w:rPr>
                <w:rFonts w:ascii="Calibri" w:hAnsi="Calibri"/>
                <w:sz w:val="20"/>
              </w:rPr>
              <w:t>Standard</w:t>
            </w:r>
          </w:p>
        </w:tc>
      </w:tr>
      <w:tr>
        <w:tc>
          <w:tcPr>
            <w:tcW w:type="dxa" w:w="576"/>
          </w:tcPr>
          <w:p>
            <w:r/>
            <w:r>
              <w:rPr>
                <w:rFonts w:ascii="Calibri" w:hAnsi="Calibri"/>
                <w:sz w:val="20"/>
              </w:rPr>
              <w:t>15</w:t>
            </w:r>
          </w:p>
        </w:tc>
        <w:tc>
          <w:tcPr>
            <w:tcW w:type="dxa" w:w="4752"/>
          </w:tcPr>
          <w:p>
            <w:r/>
            <w:r>
              <w:rPr>
                <w:rFonts w:ascii="Calibri" w:hAnsi="Calibri"/>
                <w:sz w:val="20"/>
              </w:rPr>
              <w:t>Interface Improvements (Dark Mode, Speed)</w:t>
            </w:r>
          </w:p>
        </w:tc>
        <w:tc>
          <w:tcPr>
            <w:tcW w:type="dxa" w:w="1152"/>
          </w:tcPr>
          <w:p>
            <w:r/>
            <w:r>
              <w:rPr>
                <w:rFonts w:ascii="Calibri" w:hAnsi="Calibri"/>
                <w:sz w:val="20"/>
              </w:rPr>
              <w:t>4</w:t>
            </w:r>
          </w:p>
        </w:tc>
        <w:tc>
          <w:tcPr>
            <w:tcW w:type="dxa" w:w="1440"/>
          </w:tcPr>
          <w:p>
            <w:r/>
            <w:r>
              <w:rPr>
                <w:rFonts w:ascii="Calibri" w:hAnsi="Calibri"/>
                <w:sz w:val="20"/>
              </w:rPr>
              <w:t>Standard</w:t>
            </w:r>
          </w:p>
        </w:tc>
      </w:tr>
      <w:tr>
        <w:tc>
          <w:tcPr>
            <w:tcW w:type="dxa" w:w="576"/>
            <w:shd w:val="clear" w:color="auto" w:fill="F4F7F6"/>
          </w:tcPr>
          <w:p>
            <w:r/>
            <w:r>
              <w:rPr>
                <w:rFonts w:ascii="Calibri" w:hAnsi="Calibri"/>
                <w:sz w:val="20"/>
              </w:rPr>
              <w:t>16</w:t>
            </w:r>
          </w:p>
        </w:tc>
        <w:tc>
          <w:tcPr>
            <w:tcW w:type="dxa" w:w="4752"/>
            <w:shd w:val="clear" w:color="auto" w:fill="F4F7F6"/>
          </w:tcPr>
          <w:p>
            <w:r/>
            <w:r>
              <w:rPr>
                <w:rFonts w:ascii="Calibri" w:hAnsi="Calibri"/>
                <w:sz w:val="20"/>
              </w:rPr>
              <w:t>Password Reset &amp; Account Security</w:t>
            </w:r>
          </w:p>
        </w:tc>
        <w:tc>
          <w:tcPr>
            <w:tcW w:type="dxa" w:w="1152"/>
            <w:shd w:val="clear" w:color="auto" w:fill="F4F7F6"/>
          </w:tcPr>
          <w:p>
            <w:r/>
            <w:r>
              <w:rPr>
                <w:rFonts w:ascii="Calibri" w:hAnsi="Calibri"/>
                <w:sz w:val="20"/>
              </w:rPr>
              <w:t>4</w:t>
            </w:r>
          </w:p>
        </w:tc>
        <w:tc>
          <w:tcPr>
            <w:tcW w:type="dxa" w:w="1440"/>
            <w:shd w:val="clear" w:color="auto" w:fill="F4F7F6"/>
          </w:tcPr>
          <w:p>
            <w:r/>
            <w:r>
              <w:rPr>
                <w:rFonts w:ascii="Calibri" w:hAnsi="Calibri"/>
                <w:sz w:val="20"/>
              </w:rPr>
              <w:t>Standard</w:t>
            </w:r>
          </w:p>
        </w:tc>
      </w:tr>
    </w:tbl>
    <w:p/>
    <w:p/>
    <w:p/>
    <w:p>
      <w:pPr>
        <w:jc w:val="center"/>
      </w:pPr>
      <w:r>
        <w:rPr>
          <w:i/>
          <w:color w:val="666666"/>
        </w:rPr>
        <w:t>— End of Proposal —</w:t>
      </w:r>
    </w:p>
    <w:p/>
    <w:p>
      <w:pPr>
        <w:jc w:val="center"/>
      </w:pPr>
      <w:r>
        <w:rPr>
          <w:color w:val="666666"/>
          <w:sz w:val="20"/>
        </w:rPr>
        <w:t>This proposal is submitted for review and approval. Implementation will proceed upon confirmation of scope and phase prioritisation.</w:t>
      </w:r>
    </w:p>
    <w:p/>
    <w:p>
      <w:pPr>
        <w:jc w:val="center"/>
      </w:pPr>
      <w:r>
        <w:rPr>
          <w:b/>
          <w:color w:val="003366"/>
          <w:sz w:val="20"/>
        </w:rPr>
        <w:t>NSPD Ghana Development Team  |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