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A8F86"/>
          <w:sz w:val="32"/>
          <w:szCs w:val="32"/>
        </w:rPr>
        <w:t xml:space="preserve">HomeCare del Quindío I.P.S.</w:t>
      </w:r>
    </w:p>
    <w:p>
      <w:pPr>
        <w:spacing w:after="200"/>
      </w:pPr>
      <w:r>
        <w:rPr>
          <w:b/>
          <w:bCs/>
          <w:sz w:val="34"/>
          <w:szCs w:val="34"/>
        </w:rPr>
        <w:t xml:space="preserve">Protocolo Operativo de Toma de Muestras y Lista de Supervisión</w:t>
      </w:r>
    </w:p>
    <w:p>
      <w:pPr>
        <w:spacing w:after="400"/>
      </w:pPr>
      <w:r>
        <w:rPr>
          <w:i/>
          <w:iCs/>
          <w:color w:val="6C757D"/>
          <w:sz w:val="22"/>
          <w:szCs w:val="22"/>
        </w:rPr>
        <w:t xml:space="preserve">Guía paso a paso para el auxiliar que toma la muestra, y para quien supervisa que se haga bien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5FBF9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🩸 Para quién es este manual</w:t>
            </w:r>
          </w:p>
          <w:p>
            <w:r>
              <w:t xml:space="preserve">Parte 1 (protocolo clínico) es para el auxiliar o profesional que toma muestras en el domicilio del paciente. Parte 2 (lista de supervisión) es para Calidad/Coordinación, que audita en sitio que el protocolo se esté cumpliendo.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t xml:space="preserve">Parte 1 — Protocolo paso a paso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Estos son los pasos correctos, en orden, para tomar una muestra a domicilio con seguridad para el paciente y validez para el laboratorio. Es el mismo estándar contra el que se audita en la Lista de Supervisión (Parte 2).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1. Identificación del paciente</w:t>
      </w:r>
    </w:p>
    <w:p>
      <w:pPr>
        <w:spacing w:after="100"/>
      </w:pPr>
      <w:r>
        <w:rPr>
          <w:b/>
          <w:bCs/>
          <w:color w:val="0A8F86"/>
        </w:rPr>
        <w:t xml:space="preserve">1. </w:t>
      </w:r>
      <w:r>
        <w:t xml:space="preserve">Pida al paciente (o a su acudiente) que diga su nombre completo en voz alta — nunca lo diga usted primero ni asuma que la persona frente a usted es el paciente correcto.</w:t>
      </w:r>
    </w:p>
    <w:p>
      <w:pPr>
        <w:spacing w:after="100"/>
      </w:pPr>
      <w:r>
        <w:rPr>
          <w:b/>
          <w:bCs/>
          <w:color w:val="0A8F86"/>
        </w:rPr>
        <w:t xml:space="preserve">2. </w:t>
      </w:r>
      <w:r>
        <w:t xml:space="preserve">Solicite el documento de identidad y compárelo con la orden del examen.</w:t>
      </w:r>
    </w:p>
    <w:p>
      <w:pPr>
        <w:spacing w:after="100"/>
      </w:pPr>
      <w:r>
        <w:rPr>
          <w:b/>
          <w:bCs/>
          <w:color w:val="0A8F86"/>
        </w:rPr>
        <w:t xml:space="preserve">3. </w:t>
      </w:r>
      <w:r>
        <w:t xml:space="preserve">Confirme un segundo dato (fecha de nacimiento, número de historia clínica) para descartar homónimos.</w:t>
      </w:r>
    </w:p>
    <w:p>
      <w:pPr>
        <w:spacing w:after="100"/>
      </w:pPr>
      <w:r>
        <w:rPr>
          <w:b/>
          <w:bCs/>
          <w:color w:val="0A8F86"/>
        </w:rPr>
        <w:t xml:space="preserve">4. </w:t>
      </w:r>
      <w:r>
        <w:t xml:space="preserve">Si el paciente está inconsciente, es menor de edad, o tiene alguna barrera de comunicación, verifique su identidad con el acompañante presente.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2. Verificación de datos demográficos</w:t>
      </w:r>
    </w:p>
    <w:p>
      <w:pPr>
        <w:spacing w:after="100"/>
      </w:pPr>
      <w:r>
        <w:rPr>
          <w:b/>
          <w:bCs/>
          <w:color w:val="0A8F86"/>
        </w:rPr>
        <w:t xml:space="preserve">1. </w:t>
      </w:r>
      <w:r>
        <w:t xml:space="preserve">Confirme el sexo del paciente y su procedencia (EPS/asegurador, servicio).</w:t>
      </w:r>
    </w:p>
    <w:p>
      <w:pPr>
        <w:spacing w:after="100"/>
      </w:pPr>
      <w:r>
        <w:rPr>
          <w:b/>
          <w:bCs/>
          <w:color w:val="0A8F86"/>
        </w:rPr>
        <w:t xml:space="preserve">2. </w:t>
      </w:r>
      <w:r>
        <w:t xml:space="preserve">Revise que los datos que va a poner en el rótulo coincidan exactamente con la orden médica y con lo que aparece en el sistema.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3. Antes de la punción</w:t>
      </w:r>
    </w:p>
    <w:p>
      <w:pPr>
        <w:spacing w:after="100"/>
      </w:pPr>
      <w:r>
        <w:rPr>
          <w:b/>
          <w:bCs/>
          <w:color w:val="0A8F86"/>
        </w:rPr>
        <w:t xml:space="preserve">1. </w:t>
      </w:r>
      <w:r>
        <w:t xml:space="preserve">Higiene de manos — siempre, antes de tocar cualquier insumo.</w:t>
      </w:r>
    </w:p>
    <w:p>
      <w:pPr>
        <w:spacing w:after="100"/>
      </w:pPr>
      <w:r>
        <w:rPr>
          <w:b/>
          <w:bCs/>
          <w:color w:val="0A8F86"/>
        </w:rPr>
        <w:t xml:space="preserve">2. </w:t>
      </w:r>
      <w:r>
        <w:t xml:space="preserve">Colóquese los elementos de protección personal (guantes, tapabocas).</w:t>
      </w:r>
    </w:p>
    <w:p>
      <w:pPr>
        <w:spacing w:after="100"/>
      </w:pPr>
      <w:r>
        <w:rPr>
          <w:b/>
          <w:bCs/>
          <w:color w:val="0A8F86"/>
        </w:rPr>
        <w:t xml:space="preserve">3. </w:t>
      </w:r>
      <w:r>
        <w:t xml:space="preserve">Revise la fecha de vencimiento y el estado de los tubos, agujas y demás insumos que va a usar.</w:t>
      </w:r>
    </w:p>
    <w:p>
      <w:pPr>
        <w:spacing w:after="100"/>
      </w:pPr>
      <w:r>
        <w:rPr>
          <w:b/>
          <w:bCs/>
          <w:color w:val="0A8F86"/>
        </w:rPr>
        <w:t xml:space="preserve">4. </w:t>
      </w:r>
      <w:r>
        <w:t xml:space="preserve">Seleccione el tubo o recipiente correcto según el examen solicitado — el color de la tapa importa (ver el Manual de Trazabilidad de Muestras para la tabla completa).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4. Durante la punción</w:t>
      </w:r>
    </w:p>
    <w:p>
      <w:pPr>
        <w:spacing w:after="100"/>
      </w:pPr>
      <w:r>
        <w:rPr>
          <w:b/>
          <w:bCs/>
          <w:color w:val="0A8F86"/>
        </w:rPr>
        <w:t xml:space="preserve">1. </w:t>
      </w:r>
      <w:r>
        <w:t xml:space="preserve">Realice la antisepsia del sitio de punción.</w:t>
      </w:r>
    </w:p>
    <w:p>
      <w:pPr>
        <w:spacing w:after="100"/>
      </w:pPr>
      <w:r>
        <w:rPr>
          <w:b/>
          <w:bCs/>
          <w:color w:val="0A8F86"/>
        </w:rPr>
        <w:t xml:space="preserve">2. </w:t>
      </w:r>
      <w:r>
        <w:t xml:space="preserve">Aplique la técnica correcta de punción venosa o capilar, según el protocolo institucional.</w:t>
      </w:r>
    </w:p>
    <w:p>
      <w:pPr>
        <w:spacing w:after="100"/>
      </w:pPr>
      <w:r>
        <w:rPr>
          <w:b/>
          <w:bCs/>
          <w:color w:val="0A8F86"/>
        </w:rPr>
        <w:t xml:space="preserve">3. </w:t>
      </w:r>
      <w:r>
        <w:t xml:space="preserve">Respete el orden de llenado de los tubos cuando el examen lo requiera (orden de extracción).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5. Inmediatamente después de la toma</w:t>
      </w:r>
    </w:p>
    <w:p>
      <w:pPr>
        <w:spacing w:after="100"/>
      </w:pPr>
      <w:r>
        <w:rPr>
          <w:b/>
          <w:bCs/>
          <w:color w:val="0A8F86"/>
        </w:rPr>
        <w:t xml:space="preserve">1. </w:t>
      </w:r>
      <w:r>
        <w:t xml:space="preserve">Rotule los tubos de inmediato, en presencia del paciente — nunca después, y nunca en otro lugar.</w:t>
      </w:r>
    </w:p>
    <w:p>
      <w:pPr>
        <w:spacing w:after="100"/>
      </w:pPr>
      <w:r>
        <w:rPr>
          <w:b/>
          <w:bCs/>
          <w:color w:val="0A8F86"/>
        </w:rPr>
        <w:t xml:space="preserve">2. </w:t>
      </w:r>
      <w:r>
        <w:t xml:space="preserve">El rótulo debe incluir: nombre completo, documento de identidad, fecha, hora, y tipo de muestra.</w:t>
      </w:r>
    </w:p>
    <w:p>
      <w:pPr>
        <w:spacing w:after="100"/>
      </w:pPr>
      <w:r>
        <w:rPr>
          <w:b/>
          <w:bCs/>
          <w:color w:val="0A8F86"/>
        </w:rPr>
        <w:t xml:space="preserve">3. </w:t>
      </w:r>
      <w:r>
        <w:t xml:space="preserve">Homogenice las muestras que lo requieran (inversión suave, el número de veces que indique el tipo de tubo).</w:t>
      </w:r>
    </w:p>
    <w:p>
      <w:pPr>
        <w:spacing w:after="100"/>
      </w:pPr>
      <w:r>
        <w:rPr>
          <w:b/>
          <w:bCs/>
          <w:color w:val="0A8F86"/>
        </w:rPr>
        <w:t xml:space="preserve">4. </w:t>
      </w:r>
      <w:r>
        <w:t xml:space="preserve">Descarte los elementos cortopunzantes en el guardián — nunca en la basura común.</w:t>
      </w:r>
    </w:p>
    <w:p>
      <w:pPr>
        <w:spacing w:after="100"/>
      </w:pPr>
      <w:r>
        <w:rPr>
          <w:b/>
          <w:bCs/>
          <w:color w:val="0A8F86"/>
        </w:rPr>
        <w:t xml:space="preserve">5. </w:t>
      </w:r>
      <w:r>
        <w:t xml:space="preserve">Aplique presión y/o apósito en el sitio de punción, y verifique que no siga sangrando antes de retirarse.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6. Cierre del procedimiento</w:t>
      </w:r>
    </w:p>
    <w:p>
      <w:pPr>
        <w:spacing w:after="100"/>
      </w:pPr>
      <w:r>
        <w:rPr>
          <w:b/>
          <w:bCs/>
          <w:color w:val="0A8F86"/>
        </w:rPr>
        <w:t xml:space="preserve">1. </w:t>
      </w:r>
      <w:r>
        <w:t xml:space="preserve">Registre el procedimiento en el sistema (módulo de Trazabilidad de Muestras) o en la planilla correspondiente.</w:t>
      </w:r>
    </w:p>
    <w:p>
      <w:pPr>
        <w:spacing w:after="100"/>
      </w:pPr>
      <w:r>
        <w:rPr>
          <w:b/>
          <w:bCs/>
          <w:color w:val="0A8F86"/>
        </w:rPr>
        <w:t xml:space="preserve">2. </w:t>
      </w:r>
      <w:r>
        <w:t xml:space="preserve">Transporte y almacene la muestra en las condiciones que requiera (temperatura, tiempo máximo, protección de la luz).</w:t>
      </w:r>
    </w:p>
    <w:p>
      <w:pPr>
        <w:spacing w:after="100"/>
      </w:pPr>
      <w:r>
        <w:rPr>
          <w:b/>
          <w:bCs/>
          <w:color w:val="0A8F86"/>
        </w:rPr>
        <w:t xml:space="preserve">3. </w:t>
      </w:r>
      <w:r>
        <w:t xml:space="preserve">Durante todo el procedimiento, trate al paciente con respeto, amabilidad y privacidad.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5FBF9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🔗 Esto se conecta con el sistema</w:t>
            </w:r>
          </w:p>
          <w:p>
            <w:r>
              <w:t xml:space="preserve">Cada uno de estos 23 pasos es exactamente lo que un supervisor verifica con la Lista de Supervisión digital (Parte 2) — y el registro final se hace en el módulo de Trazabilidad de Muestras, que ya trae la lista completa de tipos de tubo y sus colores.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t xml:space="preserve">Parte 2 — Lista de Supervisión digital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Herramienta para que Calidad/Coordinación audite en sitio, sin papel, cómo un auxiliar está tomando las muestras — mismos 23 puntos del protocolo de la Parte 1.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Cómo registrar una supervisión</w:t>
      </w:r>
    </w:p>
    <w:p>
      <w:pPr>
        <w:spacing w:after="100"/>
      </w:pPr>
      <w:r>
        <w:rPr>
          <w:b/>
          <w:bCs/>
          <w:color w:val="0A8F86"/>
        </w:rPr>
        <w:t xml:space="preserve">1. </w:t>
      </w:r>
      <w:r>
        <w:t xml:space="preserve">Ir a Muestras Pendientes de Entrega → Supervisión Toma de Muestras → Nueva supervisión.</w:t>
      </w:r>
    </w:p>
    <w:p>
      <w:pPr>
        <w:spacing w:after="100"/>
      </w:pPr>
      <w:r>
        <w:rPr>
          <w:b/>
          <w:bCs/>
          <w:color w:val="0A8F86"/>
        </w:rPr>
        <w:t xml:space="preserve">2. </w:t>
      </w:r>
      <w:r>
        <w:t xml:space="preserve">Llenar la fecha, el punto de toma (dirección/IPS), y el nombre del auxiliar supervisado.</w:t>
      </w:r>
    </w:p>
    <w:p>
      <w:pPr>
        <w:spacing w:after="100"/>
      </w:pPr>
      <w:r>
        <w:rPr>
          <w:b/>
          <w:bCs/>
          <w:color w:val="0A8F86"/>
        </w:rPr>
        <w:t xml:space="preserve">3. </w:t>
      </w:r>
      <w:r>
        <w:t xml:space="preserve">Para cada uno de los 23 puntos, marcar Cumple / No cumple / N/A — y agregar una observación cuando algo no cumpla, para que quede claro qué corregir.</w:t>
      </w:r>
    </w:p>
    <w:p>
      <w:pPr>
        <w:spacing w:after="100"/>
      </w:pPr>
      <w:r>
        <w:rPr>
          <w:b/>
          <w:bCs/>
          <w:color w:val="0A8F86"/>
        </w:rPr>
        <w:t xml:space="preserve">4. </w:t>
      </w:r>
      <w:r>
        <w:t xml:space="preserve">Guardar — el sistema calcula solo el porcentaje de cumplimiento (sobre los puntos que sí aplicaban ese día).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5FBF9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📊 Cómo se calcula el porcentaje</w:t>
            </w:r>
          </w:p>
          <w:p>
            <w:r>
              <w:t xml:space="preserve">Se calcula solo sobre los puntos marcados Cumple o No cumple — los marcados N/A no cuentan ni a favor ni en contra, porque simplemente no aplicaron ese día (por ejemplo, el orden de llenado de tubos no aplica si solo se tomó un tubo).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Los 23 puntos verificados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00"/>
      </w:tblGrid>
      <w:tr>
        <w:trPr>
          <w:tblHeader/>
        </w:trPr>
        <w:tc>
          <w:tcPr>
            <w:tcW w:type="dxa" w:w="6500"/>
            <w:shd w:fill="0A8F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Bloque</w:t>
            </w:r>
          </w:p>
        </w:tc>
        <w:tc>
          <w:tcPr>
            <w:tcW w:type="dxa" w:w="2500"/>
            <w:shd w:fill="0A8F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Cuántos puntos</w:t>
            </w:r>
          </w:p>
        </w:tc>
      </w:tr>
      <w:tr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 Identificación del paciente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 Verificación de datos demográficos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3. Supervisión de la toma de muestras (técnica)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El listado completo con cada punto exacto está en la Parte 1 de este manual — son el mismo protocolo, visto desde dos ángulos: cómo hacerlo (Parte 1) y cómo verificar que se hizo bien (Parte 2).</w:t>
      </w:r>
    </w:p>
    <w:p>
      <w:pPr>
        <w:spacing w:after="120"/>
      </w:pPr>
    </w:p>
    <w:p>
      <w:r>
        <w:rPr>
          <w:i/>
          <w:iCs/>
          <w:color w:val="6C757D"/>
          <w:sz w:val="18"/>
          <w:szCs w:val="18"/>
        </w:rPr>
        <w:t xml:space="preserve">HomeCare Enterprise — Protocolo Operativo de Toma de Muestras y Lista de Supervisión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2026-08-28T16:00:43.073Z</dcterms:created>
  <dcterms:modified xsi:type="dcterms:W3CDTF">2026-08-28T16:00:43.087Z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