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0A8F86"/>
          <w:sz w:val="32"/>
          <w:szCs w:val="32"/>
        </w:rPr>
        <w:t xml:space="preserve">HomeCare del Quindío I.P.S.</w:t>
      </w:r>
    </w:p>
    <w:p>
      <w:pPr>
        <w:spacing w:after="200"/>
      </w:pPr>
      <w:r>
        <w:rPr>
          <w:b/>
          <w:bCs/>
          <w:sz w:val="44"/>
          <w:szCs w:val="44"/>
        </w:rPr>
        <w:t xml:space="preserve">Manual de Convenios EPS y Facturación por Plan</w:t>
      </w:r>
    </w:p>
    <w:p>
      <w:pPr>
        <w:spacing w:after="400"/>
      </w:pPr>
      <w:r>
        <w:rPr>
          <w:i/>
          <w:iCs/>
          <w:color w:val="6C757D"/>
          <w:sz w:val="22"/>
          <w:szCs w:val="22"/>
        </w:rPr>
        <w:t xml:space="preserve">Parametrización de tarifas, topes de servicios, y generación automática de facturación electrónica a las 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E3E3" w:val="clear"/>
            <w:tcMar>
              <w:top w:type="dxa" w:w="150"/>
              <w:left w:type="dxa" w:w="150"/>
              <w:bottom w:type="dxa" w:w="150"/>
              <w:right w:type="dxa" w:w="150"/>
            </w:tcMar>
          </w:tcPr>
          <w:p>
            <w:pPr>
              <w:spacing w:after="60"/>
            </w:pPr>
            <w:r>
              <w:rPr>
                <w:b/>
                <w:bCs/>
              </w:rPr>
              <w:t xml:space="preserve">⚠ Documento delicado — de uso interno</w:t>
            </w:r>
          </w:p>
          <w:p>
            <w:r>
              <w:t xml:space="preserve">Este módulo gestiona directamente los valores que se cobran a cada EPS y la generación de facturación electrónica. Cualquier cambio en las tarifas o en los topes de servicios debe hacerse con conocimiento del área administrativa/financiera, ya que afecta directamente lo que se le factura a cada entidad.</w:t>
            </w:r>
          </w:p>
        </w:tc>
      </w:tr>
    </w:tbl>
    <w:p>
      <w:r>
        <w:br w:type="page"/>
      </w:r>
    </w:p>
    <w:p>
      <w:pPr>
        <w:pStyle w:val="Heading1"/>
        <w:spacing w:after="200" w:before="300"/>
      </w:pPr>
      <w:r>
        <w:t xml:space="preserve">1. ¿Para qué sirve este módulo?</w:t>
      </w:r>
    </w:p>
    <w:p>
      <w:pPr>
        <w:spacing w:after="160"/>
      </w:pPr>
      <w:r>
        <w:rPr>
          <w:b w:val="false"/>
          <w:bCs w:val="false"/>
          <w:i w:val="false"/>
          <w:iCs w:val="false"/>
        </w:rPr>
        <w:t xml:space="preserve">Cada EPS le paga a HomeCare del Quindío I.P.S. según un convenio pactado, que normalmente incluye un número de sesiones o visitas de cada servicio (terapias, enfermería, medicina general, psicología, etc.) por cada paciente, dentro de un periodo determinado. Cuando un paciente supera esa cantidad, los servicios adicionales se cobran a un valor distinto.</w:t>
      </w:r>
    </w:p>
    <w:p>
      <w:pPr>
        <w:spacing w:after="160"/>
      </w:pPr>
      <w:r>
        <w:rPr>
          <w:b w:val="false"/>
          <w:bCs w:val="false"/>
          <w:i w:val="false"/>
          <w:iCs w:val="false"/>
        </w:rPr>
        <w:t xml:space="preserve">El módulo de Convenios EPS le permite configurar esas reglas UNA sola vez por cada EPS, y a partir de ahí el sistema:</w:t>
      </w:r>
    </w:p>
    <w:p>
      <w:pPr>
        <w:pStyle w:val="ListParagraph"/>
        <w:numPr>
          <w:ilvl w:val="0"/>
          <w:numId w:val="1"/>
        </w:numPr>
        <w:spacing w:after="80"/>
      </w:pPr>
      <w:r>
        <w:t xml:space="preserve">Cuenta automáticamente cuántas veces se le ha prestado cada servicio a un paciente, dentro del periodo vigente.</w:t>
      </w:r>
    </w:p>
    <w:p>
      <w:pPr>
        <w:pStyle w:val="ListParagraph"/>
        <w:numPr>
          <w:ilvl w:val="0"/>
          <w:numId w:val="1"/>
        </w:numPr>
        <w:spacing w:after="80"/>
      </w:pPr>
      <w:r>
        <w:t xml:space="preserve">Decide solo si ese servicio se cobra al valor normal (incluido en el plan) o al valor adicional (una vez se pasó el tope).</w:t>
      </w:r>
    </w:p>
    <w:p>
      <w:pPr>
        <w:pStyle w:val="ListParagraph"/>
        <w:numPr>
          <w:ilvl w:val="0"/>
          <w:numId w:val="1"/>
        </w:numPr>
        <w:spacing w:after="80"/>
      </w:pPr>
      <w:r>
        <w:t xml:space="preserve">Genera la cuenta por cobrar a la EPS cada vez que un profesional completa una visita — sin que nadie tenga que hacerlo a mano.</w:t>
      </w:r>
    </w:p>
    <w:p>
      <w:pPr>
        <w:pStyle w:val="ListParagraph"/>
        <w:numPr>
          <w:ilvl w:val="0"/>
          <w:numId w:val="1"/>
        </w:numPr>
        <w:spacing w:after="80"/>
      </w:pPr>
      <w:r>
        <w:t xml:space="preserve">Le permite, al final del periodo de corte, generar las facturas electrónicas ya agrupadas como usted prefiera.</w:t>
      </w:r>
    </w:p>
    <w:p>
      <w:pPr>
        <w:spacing w:after="120"/>
      </w:pPr>
    </w:p>
    <w:p>
      <w:pPr>
        <w:pStyle w:val="Heading1"/>
        <w:spacing w:after="200" w:before="300"/>
      </w:pPr>
      <w:r>
        <w:t xml:space="preserve">2. Conceptos clave, antes de empezar</w:t>
      </w:r>
    </w:p>
    <w:p>
      <w:pPr>
        <w:pStyle w:val="Heading2"/>
        <w:spacing w:after="120" w:before="240"/>
      </w:pPr>
      <w:r>
        <w:t xml:space="preserve">2.1 Convenio</w:t>
      </w:r>
    </w:p>
    <w:p>
      <w:pPr>
        <w:spacing w:after="160"/>
      </w:pPr>
      <w:r>
        <w:rPr>
          <w:b w:val="false"/>
          <w:bCs w:val="false"/>
          <w:i w:val="false"/>
          <w:iCs w:val="false"/>
        </w:rPr>
        <w:t xml:space="preserve">Es el contrato/plan pactado con una EPS específica. Una misma EPS puede tener varios convenios si maneja distintos planes (por ejemplo, un plan estándar y uno ampliado).</w:t>
      </w:r>
    </w:p>
    <w:p>
      <w:pPr>
        <w:pStyle w:val="Heading2"/>
        <w:spacing w:after="120" w:before="240"/>
      </w:pPr>
      <w:r>
        <w:t xml:space="preserve">2.2 Plan de servicios</w:t>
      </w:r>
    </w:p>
    <w:p>
      <w:pPr>
        <w:spacing w:after="160"/>
      </w:pPr>
      <w:r>
        <w:rPr>
          <w:b w:val="false"/>
          <w:bCs w:val="false"/>
          <w:i w:val="false"/>
          <w:iCs w:val="false"/>
        </w:rPr>
        <w:t xml:space="preserve">Dentro de cada convenio, se configura QUÉ servicios cubre, y para cada uno: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0A8F86" w:val="clear"/>
            <w:tcMar>
              <w:top w:type="dxa" w:w="100"/>
              <w:left w:type="dxa" w:w="120"/>
              <w:bottom w:type="dxa" w:w="100"/>
              <w:right w:type="dxa" w:w="120"/>
            </w:tcMar>
          </w:tcPr>
          <w:p>
            <w:r>
              <w:rPr>
                <w:b/>
                <w:bCs/>
                <w:color w:val="FFFFFF"/>
              </w:rPr>
              <w:t xml:space="preserve">Campo</w:t>
            </w:r>
          </w:p>
        </w:tc>
        <w:tc>
          <w:tcPr>
            <w:tcW w:type="dxa" w:w="6300"/>
            <w:shd w:fill="0A8F86" w:val="clear"/>
            <w:tcMar>
              <w:top w:type="dxa" w:w="100"/>
              <w:left w:type="dxa" w:w="120"/>
              <w:bottom w:type="dxa" w:w="100"/>
              <w:right w:type="dxa" w:w="120"/>
            </w:tcMar>
          </w:tcPr>
          <w:p>
            <w:r>
              <w:rPr>
                <w:b/>
                <w:bCs/>
                <w:color w:val="FFFFFF"/>
              </w:rPr>
              <w:t xml:space="preserve">Qué significa</w:t>
            </w:r>
          </w:p>
        </w:tc>
      </w:tr>
      <w:tr>
        <w:tc>
          <w:tcPr>
            <w:tcW w:type="dxa" w:w="3200"/>
            <w:tcMar>
              <w:top w:type="dxa" w:w="100"/>
              <w:left w:type="dxa" w:w="120"/>
              <w:bottom w:type="dxa" w:w="100"/>
              <w:right w:type="dxa" w:w="120"/>
            </w:tcMar>
          </w:tcPr>
          <w:p>
            <w:r>
              <w:rPr>
                <w:b w:val="false"/>
                <w:bCs w:val="false"/>
              </w:rPr>
              <w:t xml:space="preserve">Cantidad incluida</w:t>
            </w:r>
          </w:p>
        </w:tc>
        <w:tc>
          <w:tcPr>
            <w:tcW w:type="dxa" w:w="6300"/>
            <w:tcMar>
              <w:top w:type="dxa" w:w="100"/>
              <w:left w:type="dxa" w:w="120"/>
              <w:bottom w:type="dxa" w:w="100"/>
              <w:right w:type="dxa" w:w="120"/>
            </w:tcMar>
          </w:tcPr>
          <w:p>
            <w:r>
              <w:rPr>
                <w:b w:val="false"/>
                <w:bCs w:val="false"/>
              </w:rPr>
              <w:t xml:space="preserve">Cuántas veces se cubre ese servicio dentro de un periodo, sin cobrar el valor adicional.</w:t>
            </w:r>
          </w:p>
        </w:tc>
      </w:tr>
      <w:tr>
        <w:tc>
          <w:tcPr>
            <w:tcW w:type="dxa" w:w="3200"/>
            <w:tcMar>
              <w:top w:type="dxa" w:w="100"/>
              <w:left w:type="dxa" w:w="120"/>
              <w:bottom w:type="dxa" w:w="100"/>
              <w:right w:type="dxa" w:w="120"/>
            </w:tcMar>
          </w:tcPr>
          <w:p>
            <w:r>
              <w:rPr>
                <w:b w:val="false"/>
                <w:bCs w:val="false"/>
              </w:rPr>
              <w:t xml:space="preserve">Se reinicia cada (días)</w:t>
            </w:r>
          </w:p>
        </w:tc>
        <w:tc>
          <w:tcPr>
            <w:tcW w:type="dxa" w:w="6300"/>
            <w:tcMar>
              <w:top w:type="dxa" w:w="100"/>
              <w:left w:type="dxa" w:w="120"/>
              <w:bottom w:type="dxa" w:w="100"/>
              <w:right w:type="dxa" w:w="120"/>
            </w:tcMar>
          </w:tcPr>
          <w:p>
            <w:r>
              <w:rPr>
                <w:b w:val="false"/>
                <w:bCs w:val="false"/>
              </w:rPr>
              <w:t xml:space="preserve">Cada cuántos días se vuelve a contar desde cero — 30 para algo mensual, 90 para algo trimestral.</w:t>
            </w:r>
          </w:p>
        </w:tc>
      </w:tr>
      <w:tr>
        <w:tc>
          <w:tcPr>
            <w:tcW w:type="dxa" w:w="3200"/>
            <w:tcMar>
              <w:top w:type="dxa" w:w="100"/>
              <w:left w:type="dxa" w:w="120"/>
              <w:bottom w:type="dxa" w:w="100"/>
              <w:right w:type="dxa" w:w="120"/>
            </w:tcMar>
          </w:tcPr>
          <w:p>
            <w:r>
              <w:rPr>
                <w:b w:val="false"/>
                <w:bCs w:val="false"/>
              </w:rPr>
              <w:t xml:space="preserve">Valor normal</w:t>
            </w:r>
          </w:p>
        </w:tc>
        <w:tc>
          <w:tcPr>
            <w:tcW w:type="dxa" w:w="6300"/>
            <w:tcMar>
              <w:top w:type="dxa" w:w="100"/>
              <w:left w:type="dxa" w:w="120"/>
              <w:bottom w:type="dxa" w:w="100"/>
              <w:right w:type="dxa" w:w="120"/>
            </w:tcMar>
          </w:tcPr>
          <w:p>
            <w:r>
              <w:rPr>
                <w:b w:val="false"/>
                <w:bCs w:val="false"/>
              </w:rPr>
              <w:t xml:space="preserve">Lo que se cobra por cada uso MIENTRAS esté dentro del tope.</w:t>
            </w:r>
          </w:p>
        </w:tc>
      </w:tr>
      <w:tr>
        <w:tc>
          <w:tcPr>
            <w:tcW w:type="dxa" w:w="3200"/>
            <w:tcMar>
              <w:top w:type="dxa" w:w="100"/>
              <w:left w:type="dxa" w:w="120"/>
              <w:bottom w:type="dxa" w:w="100"/>
              <w:right w:type="dxa" w:w="120"/>
            </w:tcMar>
          </w:tcPr>
          <w:p>
            <w:r>
              <w:rPr>
                <w:b w:val="false"/>
                <w:bCs w:val="false"/>
              </w:rPr>
              <w:t xml:space="preserve">Valor adicional</w:t>
            </w:r>
          </w:p>
        </w:tc>
        <w:tc>
          <w:tcPr>
            <w:tcW w:type="dxa" w:w="6300"/>
            <w:tcMar>
              <w:top w:type="dxa" w:w="100"/>
              <w:left w:type="dxa" w:w="120"/>
              <w:bottom w:type="dxa" w:w="100"/>
              <w:right w:type="dxa" w:w="120"/>
            </w:tcMar>
          </w:tcPr>
          <w:p>
            <w:r>
              <w:rPr>
                <w:b w:val="false"/>
                <w:bCs w:val="false"/>
              </w:rPr>
              <w:t xml:space="preserve">Lo que se cobra por cada uso EXCEDENTE, una vez se pasó el tope.</w:t>
            </w:r>
          </w:p>
        </w:tc>
      </w:tr>
      <w:tr>
        <w:tc>
          <w:tcPr>
            <w:tcW w:type="dxa" w:w="3200"/>
            <w:tcMar>
              <w:top w:type="dxa" w:w="100"/>
              <w:left w:type="dxa" w:w="120"/>
              <w:bottom w:type="dxa" w:w="100"/>
              <w:right w:type="dxa" w:w="120"/>
            </w:tcMar>
          </w:tcPr>
          <w:p>
            <w:r>
              <w:rPr>
                <w:b w:val="false"/>
                <w:bCs w:val="false"/>
              </w:rPr>
              <w:t xml:space="preserve">Grupo (tope compartido)</w:t>
            </w:r>
          </w:p>
        </w:tc>
        <w:tc>
          <w:tcPr>
            <w:tcW w:type="dxa" w:w="6300"/>
            <w:tcMar>
              <w:top w:type="dxa" w:w="100"/>
              <w:left w:type="dxa" w:w="120"/>
              <w:bottom w:type="dxa" w:w="100"/>
              <w:right w:type="dxa" w:w="120"/>
            </w:tcMar>
          </w:tcPr>
          <w:p>
            <w:r>
              <w:rPr>
                <w:b w:val="false"/>
                <w:bCs w:val="false"/>
              </w:rPr>
              <w:t xml:space="preserve">Opcional — cuando varios servicios distintos deben compartir un mismo tope (ver ejemplo abajo).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5FBF9" w:val="clear"/>
            <w:tcMar>
              <w:top w:type="dxa" w:w="150"/>
              <w:left w:type="dxa" w:w="150"/>
              <w:bottom w:type="dxa" w:w="150"/>
              <w:right w:type="dxa" w:w="150"/>
            </w:tcMar>
          </w:tcPr>
          <w:p>
            <w:pPr>
              <w:spacing w:after="60"/>
            </w:pPr>
            <w:r>
              <w:rPr>
                <w:b/>
                <w:bCs/>
              </w:rPr>
              <w:t xml:space="preserve">📌 Ejemplo real: las 4 terapias</w:t>
            </w:r>
          </w:p>
          <w:p>
            <w:r>
              <w:t xml:space="preserve">El paciente tiene derecho a 12 sesiones de terapia al mes, repartidas como sea entre Terapia Física, Terapia Ocupacional, Terapia Respiratoria y Fonoaudiología. Para lograr esto, se configuran las 4 como servicios distintos (cada una con su propio valor), pero a las 4 se les pone el MISMO texto en "Grupo", por ejemplo "Terapias". El sistema entonces las cuenta juntas: la sesión número 13 de cualquiera de las 4 (sin importar cuál) sale como adicional.</w:t>
            </w:r>
          </w:p>
        </w:tc>
      </w:tr>
    </w:tbl>
    <w:p>
      <w:pPr>
        <w:spacing w:after="120"/>
      </w:pPr>
    </w:p>
    <w:p>
      <w:pPr>
        <w:pStyle w:val="Heading2"/>
        <w:spacing w:after="120" w:before="240"/>
      </w:pPr>
      <w:r>
        <w:t xml:space="preserve">2.3 Ciclo (el periodo que se reinicia)</w:t>
      </w:r>
    </w:p>
    <w:p>
      <w:pPr>
        <w:spacing w:after="160"/>
      </w:pPr>
      <w:r>
        <w:rPr>
          <w:b w:val="false"/>
          <w:bCs w:val="false"/>
          <w:i w:val="false"/>
          <w:iCs w:val="false"/>
        </w:rPr>
        <w:t xml:space="preserve">El conteo NO se reinicia el día 1 de cada mes calendario — se reinicia cada N días DESDE LA FECHA en que el paciente ingresó a ese plan. Por ejemplo, si un paciente ingresó el 5 de julio, y el servicio se reinicia cada 30 días, el primer periodo va del 5 de julio al 3 de agosto, el segundo del 4 de agosto al 2 de septiembre, y así sucesivamente.</w:t>
      </w:r>
    </w:p>
    <w:p>
      <w:pPr>
        <w:spacing w:after="120"/>
      </w:pPr>
    </w:p>
    <w:p>
      <w:pPr>
        <w:pStyle w:val="Heading1"/>
        <w:spacing w:after="200" w:before="300"/>
      </w:pPr>
      <w:r>
        <w:t xml:space="preserve">3. Crear un convenio nuevo</w:t>
      </w:r>
    </w:p>
    <w:p>
      <w:pPr>
        <w:spacing w:after="100"/>
      </w:pPr>
      <w:r>
        <w:rPr>
          <w:b/>
          <w:bCs/>
          <w:color w:val="0A8F86"/>
        </w:rPr>
        <w:t xml:space="preserve">1. </w:t>
      </w:r>
      <w:r>
        <w:t xml:space="preserve">Ir al menú “Convenios EPS (Parametrización)”.</w:t>
      </w:r>
    </w:p>
    <w:p>
      <w:pPr>
        <w:spacing w:after="100"/>
      </w:pPr>
      <w:r>
        <w:rPr>
          <w:b/>
          <w:bCs/>
          <w:color w:val="0A8F86"/>
        </w:rPr>
        <w:t xml:space="preserve">2. </w:t>
      </w:r>
      <w:r>
        <w:t xml:space="preserve">Presionar “Nuevo convenio”.</w:t>
      </w:r>
    </w:p>
    <w:p>
      <w:pPr>
        <w:spacing w:after="100"/>
      </w:pPr>
      <w:r>
        <w:rPr>
          <w:b/>
          <w:bCs/>
          <w:color w:val="0A8F86"/>
        </w:rPr>
        <w:t xml:space="preserve">3. </w:t>
      </w:r>
      <w:r>
        <w:t xml:space="preserve">Llenar: nombre de la EPS, NIT de la EPS (importante — ver nota más abajo), nombre del plan, número de convenio si aplica, y fechas de vigencia.</w:t>
      </w:r>
    </w:p>
    <w:p>
      <w:pPr>
        <w:spacing w:after="100"/>
      </w:pPr>
      <w:r>
        <w:rPr>
          <w:b/>
          <w:bCs/>
          <w:color w:val="0A8F86"/>
        </w:rPr>
        <w:t xml:space="preserve">4. </w:t>
      </w:r>
      <w:r>
        <w:t xml:space="preserve">Guardar — lo lleva directo a la pantalla para configurar el plan de servicios.</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E3E3" w:val="clear"/>
            <w:tcMar>
              <w:top w:type="dxa" w:w="150"/>
              <w:left w:type="dxa" w:w="150"/>
              <w:bottom w:type="dxa" w:w="150"/>
              <w:right w:type="dxa" w:w="150"/>
            </w:tcMar>
          </w:tcPr>
          <w:p>
            <w:pPr>
              <w:spacing w:after="60"/>
            </w:pPr>
            <w:r>
              <w:rPr>
                <w:b/>
                <w:bCs/>
              </w:rPr>
              <w:t xml:space="preserve">⚠ El NIT de la EPS es obligatorio para facturar correctamente</w:t>
            </w:r>
          </w:p>
          <w:p>
            <w:r>
              <w:t xml:space="preserve">La factura electrónica SIEMPRE se emite a nombre de la EPS (no del paciente) — es ella quien tiene el contrato y quien paga. Si no se registra su NIT aquí, la factura quedará incompleta en ese dato y habrá que corregirla manualmente.</w:t>
            </w:r>
          </w:p>
        </w:tc>
      </w:tr>
    </w:tbl>
    <w:p>
      <w:pPr>
        <w:spacing w:after="120"/>
      </w:pPr>
    </w:p>
    <w:p>
      <w:pPr>
        <w:pStyle w:val="Heading1"/>
        <w:spacing w:after="200" w:before="300"/>
      </w:pPr>
      <w:r>
        <w:t xml:space="preserve">4. Configurar el plan de servicios</w:t>
      </w:r>
    </w:p>
    <w:p>
      <w:pPr>
        <w:spacing w:after="160"/>
      </w:pPr>
      <w:r>
        <w:rPr>
          <w:b w:val="false"/>
          <w:bCs w:val="false"/>
          <w:i w:val="false"/>
          <w:iCs w:val="false"/>
        </w:rPr>
        <w:t xml:space="preserve">Dentro del convenio ya creado, en “Plan de servicios”, se presiona “Agregar servicio al plan” por cada concepto que cubra ese convenio.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E3E3" w:val="clear"/>
            <w:tcMar>
              <w:top w:type="dxa" w:w="150"/>
              <w:left w:type="dxa" w:w="150"/>
              <w:bottom w:type="dxa" w:w="150"/>
              <w:right w:type="dxa" w:w="150"/>
            </w:tcMar>
          </w:tcPr>
          <w:p>
            <w:pPr>
              <w:spacing w:after="60"/>
            </w:pPr>
            <w:r>
              <w:rPr>
                <w:b/>
                <w:bCs/>
              </w:rPr>
              <w:t xml:space="preserve">⚠ El nombre debe coincidir exactamente</w:t>
            </w:r>
          </w:p>
          <w:p>
            <w:r>
              <w:t xml:space="preserve">El campo “Nombre del servicio” debe escribirse EXACTAMENTE igual a como se llama el servicio cuando se programa la visita del paciente (por ejemplo: “Terapia Física”, “Visita de enfermería profesional”). Si no coincide exactamente, el sistema no va a reconocer que ese servicio pertenece al plan, y no generará ninguna cuenta por cobrar para él.</w:t>
            </w:r>
          </w:p>
        </w:tc>
      </w:tr>
    </w:tbl>
    <w:p>
      <w:pPr>
        <w:spacing w:after="120"/>
      </w:pPr>
    </w:p>
    <w:p>
      <w:pPr>
        <w:spacing w:after="160"/>
      </w:pPr>
      <w:r>
        <w:rPr>
          <w:b w:val="false"/>
          <w:bCs w:val="false"/>
          <w:i w:val="false"/>
          <w:iCs w:val="false"/>
        </w:rPr>
        <w:t xml:space="preserve">Ejemplo de un plan típico configurado: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200"/>
        <w:gridCol w:w="1300"/>
        <w:gridCol w:w="1300"/>
        <w:gridCol w:w="1300"/>
      </w:tblGrid>
      <w:tr>
        <w:trPr>
          <w:tblHeader/>
        </w:trPr>
        <w:tc>
          <w:tcPr>
            <w:tcW w:type="dxa" w:w="2600"/>
            <w:shd w:fill="0A8F86" w:val="clear"/>
            <w:tcMar>
              <w:top w:type="dxa" w:w="100"/>
              <w:left w:type="dxa" w:w="120"/>
              <w:bottom w:type="dxa" w:w="100"/>
              <w:right w:type="dxa" w:w="120"/>
            </w:tcMar>
          </w:tcPr>
          <w:p>
            <w:r>
              <w:rPr>
                <w:b/>
                <w:bCs/>
                <w:color w:val="FFFFFF"/>
              </w:rPr>
              <w:t xml:space="preserve">Servicio</w:t>
            </w:r>
          </w:p>
        </w:tc>
        <w:tc>
          <w:tcPr>
            <w:tcW w:type="dxa" w:w="1300"/>
            <w:shd w:fill="0A8F86" w:val="clear"/>
            <w:tcMar>
              <w:top w:type="dxa" w:w="100"/>
              <w:left w:type="dxa" w:w="120"/>
              <w:bottom w:type="dxa" w:w="100"/>
              <w:right w:type="dxa" w:w="120"/>
            </w:tcMar>
          </w:tcPr>
          <w:p>
            <w:r>
              <w:rPr>
                <w:b/>
                <w:bCs/>
                <w:color w:val="FFFFFF"/>
              </w:rPr>
              <w:t xml:space="preserve">Grupo</w:t>
            </w:r>
          </w:p>
        </w:tc>
        <w:tc>
          <w:tcPr>
            <w:tcW w:type="dxa" w:w="1200"/>
            <w:shd w:fill="0A8F86" w:val="clear"/>
            <w:tcMar>
              <w:top w:type="dxa" w:w="100"/>
              <w:left w:type="dxa" w:w="120"/>
              <w:bottom w:type="dxa" w:w="100"/>
              <w:right w:type="dxa" w:w="120"/>
            </w:tcMar>
          </w:tcPr>
          <w:p>
            <w:r>
              <w:rPr>
                <w:b/>
                <w:bCs/>
                <w:color w:val="FFFFFF"/>
              </w:rPr>
              <w:t xml:space="preserve">Incluidos</w:t>
            </w:r>
          </w:p>
        </w:tc>
        <w:tc>
          <w:tcPr>
            <w:tcW w:type="dxa" w:w="1300"/>
            <w:shd w:fill="0A8F86" w:val="clear"/>
            <w:tcMar>
              <w:top w:type="dxa" w:w="100"/>
              <w:left w:type="dxa" w:w="120"/>
              <w:bottom w:type="dxa" w:w="100"/>
              <w:right w:type="dxa" w:w="120"/>
            </w:tcMar>
          </w:tcPr>
          <w:p>
            <w:r>
              <w:rPr>
                <w:b/>
                <w:bCs/>
                <w:color w:val="FFFFFF"/>
              </w:rPr>
              <w:t xml:space="preserve">Cada (días)</w:t>
            </w:r>
          </w:p>
        </w:tc>
        <w:tc>
          <w:tcPr>
            <w:tcW w:type="dxa" w:w="1300"/>
            <w:shd w:fill="0A8F86" w:val="clear"/>
            <w:tcMar>
              <w:top w:type="dxa" w:w="100"/>
              <w:left w:type="dxa" w:w="120"/>
              <w:bottom w:type="dxa" w:w="100"/>
              <w:right w:type="dxa" w:w="120"/>
            </w:tcMar>
          </w:tcPr>
          <w:p>
            <w:r>
              <w:rPr>
                <w:b/>
                <w:bCs/>
                <w:color w:val="FFFFFF"/>
              </w:rPr>
              <w:t xml:space="preserve">Normal</w:t>
            </w:r>
          </w:p>
        </w:tc>
        <w:tc>
          <w:tcPr>
            <w:tcW w:type="dxa" w:w="1300"/>
            <w:shd w:fill="0A8F86" w:val="clear"/>
            <w:tcMar>
              <w:top w:type="dxa" w:w="100"/>
              <w:left w:type="dxa" w:w="120"/>
              <w:bottom w:type="dxa" w:w="100"/>
              <w:right w:type="dxa" w:w="120"/>
            </w:tcMar>
          </w:tcPr>
          <w:p>
            <w:r>
              <w:rPr>
                <w:b/>
                <w:bCs/>
                <w:color w:val="FFFFFF"/>
              </w:rPr>
              <w:t xml:space="preserve">Adicional</w:t>
            </w:r>
          </w:p>
        </w:tc>
      </w:tr>
      <w:tr>
        <w:tc>
          <w:tcPr>
            <w:tcW w:type="dxa" w:w="2600"/>
            <w:tcMar>
              <w:top w:type="dxa" w:w="100"/>
              <w:left w:type="dxa" w:w="120"/>
              <w:bottom w:type="dxa" w:w="100"/>
              <w:right w:type="dxa" w:w="120"/>
            </w:tcMar>
          </w:tcPr>
          <w:p>
            <w:r>
              <w:rPr>
                <w:b w:val="false"/>
                <w:bCs w:val="false"/>
              </w:rPr>
              <w:t xml:space="preserve">Terapia Física</w:t>
            </w:r>
          </w:p>
        </w:tc>
        <w:tc>
          <w:tcPr>
            <w:tcW w:type="dxa" w:w="1300"/>
            <w:tcMar>
              <w:top w:type="dxa" w:w="100"/>
              <w:left w:type="dxa" w:w="120"/>
              <w:bottom w:type="dxa" w:w="100"/>
              <w:right w:type="dxa" w:w="120"/>
            </w:tcMar>
          </w:tcPr>
          <w:p>
            <w:r>
              <w:rPr>
                <w:b w:val="false"/>
                <w:bCs w:val="false"/>
              </w:rPr>
              <w:t xml:space="preserve">Terapias</w:t>
            </w:r>
          </w:p>
        </w:tc>
        <w:tc>
          <w:tcPr>
            <w:tcW w:type="dxa" w:w="1200"/>
            <w:tcMar>
              <w:top w:type="dxa" w:w="100"/>
              <w:left w:type="dxa" w:w="120"/>
              <w:bottom w:type="dxa" w:w="100"/>
              <w:right w:type="dxa" w:w="120"/>
            </w:tcMar>
          </w:tcPr>
          <w:p>
            <w:r>
              <w:rPr>
                <w:b w:val="false"/>
                <w:bCs w:val="false"/>
              </w:rPr>
              <w:t xml:space="preserve">12</w:t>
            </w:r>
          </w:p>
        </w:tc>
        <w:tc>
          <w:tcPr>
            <w:tcW w:type="dxa" w:w="1300"/>
            <w:tcMar>
              <w:top w:type="dxa" w:w="100"/>
              <w:left w:type="dxa" w:w="120"/>
              <w:bottom w:type="dxa" w:w="100"/>
              <w:right w:type="dxa" w:w="120"/>
            </w:tcMar>
          </w:tcPr>
          <w:p>
            <w:r>
              <w:rPr>
                <w:b w:val="false"/>
                <w:bCs w:val="false"/>
              </w:rPr>
              <w:t xml:space="preserve">30</w:t>
            </w:r>
          </w:p>
        </w:tc>
        <w:tc>
          <w:tcPr>
            <w:tcW w:type="dxa" w:w="1300"/>
            <w:tcMar>
              <w:top w:type="dxa" w:w="100"/>
              <w:left w:type="dxa" w:w="120"/>
              <w:bottom w:type="dxa" w:w="100"/>
              <w:right w:type="dxa" w:w="120"/>
            </w:tcMar>
          </w:tcPr>
          <w:p>
            <w:r>
              <w:rPr>
                <w:b w:val="false"/>
                <w:bCs w:val="false"/>
              </w:rPr>
              <w:t xml:space="preserve">$45.000</w:t>
            </w:r>
          </w:p>
        </w:tc>
        <w:tc>
          <w:tcPr>
            <w:tcW w:type="dxa" w:w="1300"/>
            <w:tcMar>
              <w:top w:type="dxa" w:w="100"/>
              <w:left w:type="dxa" w:w="120"/>
              <w:bottom w:type="dxa" w:w="100"/>
              <w:right w:type="dxa" w:w="120"/>
            </w:tcMar>
          </w:tcPr>
          <w:p>
            <w:r>
              <w:rPr>
                <w:b w:val="false"/>
                <w:bCs w:val="false"/>
              </w:rPr>
              <w:t xml:space="preserve">$38.000</w:t>
            </w:r>
          </w:p>
        </w:tc>
      </w:tr>
      <w:tr>
        <w:tc>
          <w:tcPr>
            <w:tcW w:type="dxa" w:w="2600"/>
            <w:tcMar>
              <w:top w:type="dxa" w:w="100"/>
              <w:left w:type="dxa" w:w="120"/>
              <w:bottom w:type="dxa" w:w="100"/>
              <w:right w:type="dxa" w:w="120"/>
            </w:tcMar>
          </w:tcPr>
          <w:p>
            <w:r>
              <w:rPr>
                <w:b w:val="false"/>
                <w:bCs w:val="false"/>
              </w:rPr>
              <w:t xml:space="preserve">Terapia Ocupacional</w:t>
            </w:r>
          </w:p>
        </w:tc>
        <w:tc>
          <w:tcPr>
            <w:tcW w:type="dxa" w:w="1300"/>
            <w:tcMar>
              <w:top w:type="dxa" w:w="100"/>
              <w:left w:type="dxa" w:w="120"/>
              <w:bottom w:type="dxa" w:w="100"/>
              <w:right w:type="dxa" w:w="120"/>
            </w:tcMar>
          </w:tcPr>
          <w:p>
            <w:r>
              <w:rPr>
                <w:b w:val="false"/>
                <w:bCs w:val="false"/>
              </w:rPr>
              <w:t xml:space="preserve">Terapias</w:t>
            </w:r>
          </w:p>
        </w:tc>
        <w:tc>
          <w:tcPr>
            <w:tcW w:type="dxa" w:w="1200"/>
            <w:tcMar>
              <w:top w:type="dxa" w:w="100"/>
              <w:left w:type="dxa" w:w="120"/>
              <w:bottom w:type="dxa" w:w="100"/>
              <w:right w:type="dxa" w:w="120"/>
            </w:tcMar>
          </w:tcPr>
          <w:p>
            <w:r>
              <w:rPr>
                <w:b w:val="false"/>
                <w:bCs w:val="false"/>
              </w:rPr>
              <w:t xml:space="preserve">12</w:t>
            </w:r>
          </w:p>
        </w:tc>
        <w:tc>
          <w:tcPr>
            <w:tcW w:type="dxa" w:w="1300"/>
            <w:tcMar>
              <w:top w:type="dxa" w:w="100"/>
              <w:left w:type="dxa" w:w="120"/>
              <w:bottom w:type="dxa" w:w="100"/>
              <w:right w:type="dxa" w:w="120"/>
            </w:tcMar>
          </w:tcPr>
          <w:p>
            <w:r>
              <w:rPr>
                <w:b w:val="false"/>
                <w:bCs w:val="false"/>
              </w:rPr>
              <w:t xml:space="preserve">30</w:t>
            </w:r>
          </w:p>
        </w:tc>
        <w:tc>
          <w:tcPr>
            <w:tcW w:type="dxa" w:w="1300"/>
            <w:tcMar>
              <w:top w:type="dxa" w:w="100"/>
              <w:left w:type="dxa" w:w="120"/>
              <w:bottom w:type="dxa" w:w="100"/>
              <w:right w:type="dxa" w:w="120"/>
            </w:tcMar>
          </w:tcPr>
          <w:p>
            <w:r>
              <w:rPr>
                <w:b w:val="false"/>
                <w:bCs w:val="false"/>
              </w:rPr>
              <w:t xml:space="preserve">$45.000</w:t>
            </w:r>
          </w:p>
        </w:tc>
        <w:tc>
          <w:tcPr>
            <w:tcW w:type="dxa" w:w="1300"/>
            <w:tcMar>
              <w:top w:type="dxa" w:w="100"/>
              <w:left w:type="dxa" w:w="120"/>
              <w:bottom w:type="dxa" w:w="100"/>
              <w:right w:type="dxa" w:w="120"/>
            </w:tcMar>
          </w:tcPr>
          <w:p>
            <w:r>
              <w:rPr>
                <w:b w:val="false"/>
                <w:bCs w:val="false"/>
              </w:rPr>
              <w:t xml:space="preserve">$38.000</w:t>
            </w:r>
          </w:p>
        </w:tc>
      </w:tr>
      <w:tr>
        <w:tc>
          <w:tcPr>
            <w:tcW w:type="dxa" w:w="2600"/>
            <w:tcMar>
              <w:top w:type="dxa" w:w="100"/>
              <w:left w:type="dxa" w:w="120"/>
              <w:bottom w:type="dxa" w:w="100"/>
              <w:right w:type="dxa" w:w="120"/>
            </w:tcMar>
          </w:tcPr>
          <w:p>
            <w:r>
              <w:rPr>
                <w:b w:val="false"/>
                <w:bCs w:val="false"/>
              </w:rPr>
              <w:t xml:space="preserve">Terapia Respiratoria</w:t>
            </w:r>
          </w:p>
        </w:tc>
        <w:tc>
          <w:tcPr>
            <w:tcW w:type="dxa" w:w="1300"/>
            <w:tcMar>
              <w:top w:type="dxa" w:w="100"/>
              <w:left w:type="dxa" w:w="120"/>
              <w:bottom w:type="dxa" w:w="100"/>
              <w:right w:type="dxa" w:w="120"/>
            </w:tcMar>
          </w:tcPr>
          <w:p>
            <w:r>
              <w:rPr>
                <w:b w:val="false"/>
                <w:bCs w:val="false"/>
              </w:rPr>
              <w:t xml:space="preserve">Terapias</w:t>
            </w:r>
          </w:p>
        </w:tc>
        <w:tc>
          <w:tcPr>
            <w:tcW w:type="dxa" w:w="1200"/>
            <w:tcMar>
              <w:top w:type="dxa" w:w="100"/>
              <w:left w:type="dxa" w:w="120"/>
              <w:bottom w:type="dxa" w:w="100"/>
              <w:right w:type="dxa" w:w="120"/>
            </w:tcMar>
          </w:tcPr>
          <w:p>
            <w:r>
              <w:rPr>
                <w:b w:val="false"/>
                <w:bCs w:val="false"/>
              </w:rPr>
              <w:t xml:space="preserve">12</w:t>
            </w:r>
          </w:p>
        </w:tc>
        <w:tc>
          <w:tcPr>
            <w:tcW w:type="dxa" w:w="1300"/>
            <w:tcMar>
              <w:top w:type="dxa" w:w="100"/>
              <w:left w:type="dxa" w:w="120"/>
              <w:bottom w:type="dxa" w:w="100"/>
              <w:right w:type="dxa" w:w="120"/>
            </w:tcMar>
          </w:tcPr>
          <w:p>
            <w:r>
              <w:rPr>
                <w:b w:val="false"/>
                <w:bCs w:val="false"/>
              </w:rPr>
              <w:t xml:space="preserve">30</w:t>
            </w:r>
          </w:p>
        </w:tc>
        <w:tc>
          <w:tcPr>
            <w:tcW w:type="dxa" w:w="1300"/>
            <w:tcMar>
              <w:top w:type="dxa" w:w="100"/>
              <w:left w:type="dxa" w:w="120"/>
              <w:bottom w:type="dxa" w:w="100"/>
              <w:right w:type="dxa" w:w="120"/>
            </w:tcMar>
          </w:tcPr>
          <w:p>
            <w:r>
              <w:rPr>
                <w:b w:val="false"/>
                <w:bCs w:val="false"/>
              </w:rPr>
              <w:t xml:space="preserve">$48.000</w:t>
            </w:r>
          </w:p>
        </w:tc>
        <w:tc>
          <w:tcPr>
            <w:tcW w:type="dxa" w:w="1300"/>
            <w:tcMar>
              <w:top w:type="dxa" w:w="100"/>
              <w:left w:type="dxa" w:w="120"/>
              <w:bottom w:type="dxa" w:w="100"/>
              <w:right w:type="dxa" w:w="120"/>
            </w:tcMar>
          </w:tcPr>
          <w:p>
            <w:r>
              <w:rPr>
                <w:b w:val="false"/>
                <w:bCs w:val="false"/>
              </w:rPr>
              <w:t xml:space="preserve">$40.000</w:t>
            </w:r>
          </w:p>
        </w:tc>
      </w:tr>
      <w:tr>
        <w:tc>
          <w:tcPr>
            <w:tcW w:type="dxa" w:w="2600"/>
            <w:tcMar>
              <w:top w:type="dxa" w:w="100"/>
              <w:left w:type="dxa" w:w="120"/>
              <w:bottom w:type="dxa" w:w="100"/>
              <w:right w:type="dxa" w:w="120"/>
            </w:tcMar>
          </w:tcPr>
          <w:p>
            <w:r>
              <w:rPr>
                <w:b w:val="false"/>
                <w:bCs w:val="false"/>
              </w:rPr>
              <w:t xml:space="preserve">Fonoaudiología</w:t>
            </w:r>
          </w:p>
        </w:tc>
        <w:tc>
          <w:tcPr>
            <w:tcW w:type="dxa" w:w="1300"/>
            <w:tcMar>
              <w:top w:type="dxa" w:w="100"/>
              <w:left w:type="dxa" w:w="120"/>
              <w:bottom w:type="dxa" w:w="100"/>
              <w:right w:type="dxa" w:w="120"/>
            </w:tcMar>
          </w:tcPr>
          <w:p>
            <w:r>
              <w:rPr>
                <w:b w:val="false"/>
                <w:bCs w:val="false"/>
              </w:rPr>
              <w:t xml:space="preserve">Terapias</w:t>
            </w:r>
          </w:p>
        </w:tc>
        <w:tc>
          <w:tcPr>
            <w:tcW w:type="dxa" w:w="1200"/>
            <w:tcMar>
              <w:top w:type="dxa" w:w="100"/>
              <w:left w:type="dxa" w:w="120"/>
              <w:bottom w:type="dxa" w:w="100"/>
              <w:right w:type="dxa" w:w="120"/>
            </w:tcMar>
          </w:tcPr>
          <w:p>
            <w:r>
              <w:rPr>
                <w:b w:val="false"/>
                <w:bCs w:val="false"/>
              </w:rPr>
              <w:t xml:space="preserve">12</w:t>
            </w:r>
          </w:p>
        </w:tc>
        <w:tc>
          <w:tcPr>
            <w:tcW w:type="dxa" w:w="1300"/>
            <w:tcMar>
              <w:top w:type="dxa" w:w="100"/>
              <w:left w:type="dxa" w:w="120"/>
              <w:bottom w:type="dxa" w:w="100"/>
              <w:right w:type="dxa" w:w="120"/>
            </w:tcMar>
          </w:tcPr>
          <w:p>
            <w:r>
              <w:rPr>
                <w:b w:val="false"/>
                <w:bCs w:val="false"/>
              </w:rPr>
              <w:t xml:space="preserve">30</w:t>
            </w:r>
          </w:p>
        </w:tc>
        <w:tc>
          <w:tcPr>
            <w:tcW w:type="dxa" w:w="1300"/>
            <w:tcMar>
              <w:top w:type="dxa" w:w="100"/>
              <w:left w:type="dxa" w:w="120"/>
              <w:bottom w:type="dxa" w:w="100"/>
              <w:right w:type="dxa" w:w="120"/>
            </w:tcMar>
          </w:tcPr>
          <w:p>
            <w:r>
              <w:rPr>
                <w:b w:val="false"/>
                <w:bCs w:val="false"/>
              </w:rPr>
              <w:t xml:space="preserve">$45.000</w:t>
            </w:r>
          </w:p>
        </w:tc>
        <w:tc>
          <w:tcPr>
            <w:tcW w:type="dxa" w:w="1300"/>
            <w:tcMar>
              <w:top w:type="dxa" w:w="100"/>
              <w:left w:type="dxa" w:w="120"/>
              <w:bottom w:type="dxa" w:w="100"/>
              <w:right w:type="dxa" w:w="120"/>
            </w:tcMar>
          </w:tcPr>
          <w:p>
            <w:r>
              <w:rPr>
                <w:b w:val="false"/>
                <w:bCs w:val="false"/>
              </w:rPr>
              <w:t xml:space="preserve">$38.000</w:t>
            </w:r>
          </w:p>
        </w:tc>
      </w:tr>
      <w:tr>
        <w:tc>
          <w:tcPr>
            <w:tcW w:type="dxa" w:w="2600"/>
            <w:tcMar>
              <w:top w:type="dxa" w:w="100"/>
              <w:left w:type="dxa" w:w="120"/>
              <w:bottom w:type="dxa" w:w="100"/>
              <w:right w:type="dxa" w:w="120"/>
            </w:tcMar>
          </w:tcPr>
          <w:p>
            <w:r>
              <w:rPr>
                <w:b w:val="false"/>
                <w:bCs w:val="false"/>
              </w:rPr>
              <w:t xml:space="preserve">Visita de enfermería profesional</w:t>
            </w:r>
          </w:p>
        </w:tc>
        <w:tc>
          <w:tcPr>
            <w:tcW w:type="dxa" w:w="1300"/>
            <w:tcMar>
              <w:top w:type="dxa" w:w="100"/>
              <w:left w:type="dxa" w:w="120"/>
              <w:bottom w:type="dxa" w:w="100"/>
              <w:right w:type="dxa" w:w="120"/>
            </w:tcMar>
          </w:tcPr>
          <w:p>
            <w:r>
              <w:rPr>
                <w:b w:val="false"/>
                <w:bCs w:val="false"/>
              </w:rPr>
              <w:t xml:space="preserve">—</w:t>
            </w:r>
          </w:p>
        </w:tc>
        <w:tc>
          <w:tcPr>
            <w:tcW w:type="dxa" w:w="1200"/>
            <w:tcMar>
              <w:top w:type="dxa" w:w="100"/>
              <w:left w:type="dxa" w:w="120"/>
              <w:bottom w:type="dxa" w:w="100"/>
              <w:right w:type="dxa" w:w="120"/>
            </w:tcMar>
          </w:tcPr>
          <w:p>
            <w:r>
              <w:rPr>
                <w:b w:val="false"/>
                <w:bCs w:val="false"/>
              </w:rPr>
              <w:t xml:space="preserve">1</w:t>
            </w:r>
          </w:p>
        </w:tc>
        <w:tc>
          <w:tcPr>
            <w:tcW w:type="dxa" w:w="1300"/>
            <w:tcMar>
              <w:top w:type="dxa" w:w="100"/>
              <w:left w:type="dxa" w:w="120"/>
              <w:bottom w:type="dxa" w:w="100"/>
              <w:right w:type="dxa" w:w="120"/>
            </w:tcMar>
          </w:tcPr>
          <w:p>
            <w:r>
              <w:rPr>
                <w:b w:val="false"/>
                <w:bCs w:val="false"/>
              </w:rPr>
              <w:t xml:space="preserve">30</w:t>
            </w:r>
          </w:p>
        </w:tc>
        <w:tc>
          <w:tcPr>
            <w:tcW w:type="dxa" w:w="1300"/>
            <w:tcMar>
              <w:top w:type="dxa" w:w="100"/>
              <w:left w:type="dxa" w:w="120"/>
              <w:bottom w:type="dxa" w:w="100"/>
              <w:right w:type="dxa" w:w="120"/>
            </w:tcMar>
          </w:tcPr>
          <w:p>
            <w:r>
              <w:rPr>
                <w:b w:val="false"/>
                <w:bCs w:val="false"/>
              </w:rPr>
              <w:t xml:space="preserve">$60.000</w:t>
            </w:r>
          </w:p>
        </w:tc>
        <w:tc>
          <w:tcPr>
            <w:tcW w:type="dxa" w:w="1300"/>
            <w:tcMar>
              <w:top w:type="dxa" w:w="100"/>
              <w:left w:type="dxa" w:w="120"/>
              <w:bottom w:type="dxa" w:w="100"/>
              <w:right w:type="dxa" w:w="120"/>
            </w:tcMar>
          </w:tcPr>
          <w:p>
            <w:r>
              <w:rPr>
                <w:b w:val="false"/>
                <w:bCs w:val="false"/>
              </w:rPr>
              <w:t xml:space="preserve">$55.000</w:t>
            </w:r>
          </w:p>
        </w:tc>
      </w:tr>
      <w:tr>
        <w:tc>
          <w:tcPr>
            <w:tcW w:type="dxa" w:w="2600"/>
            <w:tcMar>
              <w:top w:type="dxa" w:w="100"/>
              <w:left w:type="dxa" w:w="120"/>
              <w:bottom w:type="dxa" w:w="100"/>
              <w:right w:type="dxa" w:w="120"/>
            </w:tcMar>
          </w:tcPr>
          <w:p>
            <w:r>
              <w:rPr>
                <w:b w:val="false"/>
                <w:bCs w:val="false"/>
              </w:rPr>
              <w:t xml:space="preserve">Visita de valoración médica inicial</w:t>
            </w:r>
          </w:p>
        </w:tc>
        <w:tc>
          <w:tcPr>
            <w:tcW w:type="dxa" w:w="1300"/>
            <w:tcMar>
              <w:top w:type="dxa" w:w="100"/>
              <w:left w:type="dxa" w:w="120"/>
              <w:bottom w:type="dxa" w:w="100"/>
              <w:right w:type="dxa" w:w="120"/>
            </w:tcMar>
          </w:tcPr>
          <w:p>
            <w:r>
              <w:rPr>
                <w:b w:val="false"/>
                <w:bCs w:val="false"/>
              </w:rPr>
              <w:t xml:space="preserve">—</w:t>
            </w:r>
          </w:p>
        </w:tc>
        <w:tc>
          <w:tcPr>
            <w:tcW w:type="dxa" w:w="1200"/>
            <w:tcMar>
              <w:top w:type="dxa" w:w="100"/>
              <w:left w:type="dxa" w:w="120"/>
              <w:bottom w:type="dxa" w:w="100"/>
              <w:right w:type="dxa" w:w="120"/>
            </w:tcMar>
          </w:tcPr>
          <w:p>
            <w:r>
              <w:rPr>
                <w:b w:val="false"/>
                <w:bCs w:val="false"/>
              </w:rPr>
              <w:t xml:space="preserve">1</w:t>
            </w:r>
          </w:p>
        </w:tc>
        <w:tc>
          <w:tcPr>
            <w:tcW w:type="dxa" w:w="1300"/>
            <w:tcMar>
              <w:top w:type="dxa" w:w="100"/>
              <w:left w:type="dxa" w:w="120"/>
              <w:bottom w:type="dxa" w:w="100"/>
              <w:right w:type="dxa" w:w="120"/>
            </w:tcMar>
          </w:tcPr>
          <w:p>
            <w:r>
              <w:rPr>
                <w:b w:val="false"/>
                <w:bCs w:val="false"/>
              </w:rPr>
              <w:t xml:space="preserve">30</w:t>
            </w:r>
          </w:p>
        </w:tc>
        <w:tc>
          <w:tcPr>
            <w:tcW w:type="dxa" w:w="1300"/>
            <w:tcMar>
              <w:top w:type="dxa" w:w="100"/>
              <w:left w:type="dxa" w:w="120"/>
              <w:bottom w:type="dxa" w:w="100"/>
              <w:right w:type="dxa" w:w="120"/>
            </w:tcMar>
          </w:tcPr>
          <w:p>
            <w:r>
              <w:rPr>
                <w:b w:val="false"/>
                <w:bCs w:val="false"/>
              </w:rPr>
              <w:t xml:space="preserve">$90.000</w:t>
            </w:r>
          </w:p>
        </w:tc>
        <w:tc>
          <w:tcPr>
            <w:tcW w:type="dxa" w:w="1300"/>
            <w:tcMar>
              <w:top w:type="dxa" w:w="100"/>
              <w:left w:type="dxa" w:w="120"/>
              <w:bottom w:type="dxa" w:w="100"/>
              <w:right w:type="dxa" w:w="120"/>
            </w:tcMar>
          </w:tcPr>
          <w:p>
            <w:r>
              <w:rPr>
                <w:b w:val="false"/>
                <w:bCs w:val="false"/>
              </w:rPr>
              <w:t xml:space="preserve">$80.000</w:t>
            </w:r>
          </w:p>
        </w:tc>
      </w:tr>
      <w:tr>
        <w:tc>
          <w:tcPr>
            <w:tcW w:type="dxa" w:w="2600"/>
            <w:tcMar>
              <w:top w:type="dxa" w:w="100"/>
              <w:left w:type="dxa" w:w="120"/>
              <w:bottom w:type="dxa" w:w="100"/>
              <w:right w:type="dxa" w:w="120"/>
            </w:tcMar>
          </w:tcPr>
          <w:p>
            <w:r>
              <w:rPr>
                <w:b w:val="false"/>
                <w:bCs w:val="false"/>
              </w:rPr>
              <w:t xml:space="preserve">Psicología</w:t>
            </w:r>
          </w:p>
        </w:tc>
        <w:tc>
          <w:tcPr>
            <w:tcW w:type="dxa" w:w="1300"/>
            <w:tcMar>
              <w:top w:type="dxa" w:w="100"/>
              <w:left w:type="dxa" w:w="120"/>
              <w:bottom w:type="dxa" w:w="100"/>
              <w:right w:type="dxa" w:w="120"/>
            </w:tcMar>
          </w:tcPr>
          <w:p>
            <w:r>
              <w:rPr>
                <w:b w:val="false"/>
                <w:bCs w:val="false"/>
              </w:rPr>
              <w:t xml:space="preserve">—</w:t>
            </w:r>
          </w:p>
        </w:tc>
        <w:tc>
          <w:tcPr>
            <w:tcW w:type="dxa" w:w="1200"/>
            <w:tcMar>
              <w:top w:type="dxa" w:w="100"/>
              <w:left w:type="dxa" w:w="120"/>
              <w:bottom w:type="dxa" w:w="100"/>
              <w:right w:type="dxa" w:w="120"/>
            </w:tcMar>
          </w:tcPr>
          <w:p>
            <w:r>
              <w:rPr>
                <w:b w:val="false"/>
                <w:bCs w:val="false"/>
              </w:rPr>
              <w:t xml:space="preserve">1</w:t>
            </w:r>
          </w:p>
        </w:tc>
        <w:tc>
          <w:tcPr>
            <w:tcW w:type="dxa" w:w="1300"/>
            <w:tcMar>
              <w:top w:type="dxa" w:w="100"/>
              <w:left w:type="dxa" w:w="120"/>
              <w:bottom w:type="dxa" w:w="100"/>
              <w:right w:type="dxa" w:w="120"/>
            </w:tcMar>
          </w:tcPr>
          <w:p>
            <w:r>
              <w:rPr>
                <w:b w:val="false"/>
                <w:bCs w:val="false"/>
              </w:rPr>
              <w:t xml:space="preserve">90</w:t>
            </w:r>
          </w:p>
        </w:tc>
        <w:tc>
          <w:tcPr>
            <w:tcW w:type="dxa" w:w="1300"/>
            <w:tcMar>
              <w:top w:type="dxa" w:w="100"/>
              <w:left w:type="dxa" w:w="120"/>
              <w:bottom w:type="dxa" w:w="100"/>
              <w:right w:type="dxa" w:w="120"/>
            </w:tcMar>
          </w:tcPr>
          <w:p>
            <w:r>
              <w:rPr>
                <w:b w:val="false"/>
                <w:bCs w:val="false"/>
              </w:rPr>
              <w:t xml:space="preserve">$70.000</w:t>
            </w:r>
          </w:p>
        </w:tc>
        <w:tc>
          <w:tcPr>
            <w:tcW w:type="dxa" w:w="1300"/>
            <w:tcMar>
              <w:top w:type="dxa" w:w="100"/>
              <w:left w:type="dxa" w:w="120"/>
              <w:bottom w:type="dxa" w:w="100"/>
              <w:right w:type="dxa" w:w="120"/>
            </w:tcMar>
          </w:tcPr>
          <w:p>
            <w:r>
              <w:rPr>
                <w:b w:val="false"/>
                <w:bCs w:val="false"/>
              </w:rPr>
              <w:t xml:space="preserve">$65.000</w:t>
            </w:r>
          </w:p>
        </w:tc>
      </w:tr>
      <w:tr>
        <w:tc>
          <w:tcPr>
            <w:tcW w:type="dxa" w:w="2600"/>
            <w:tcMar>
              <w:top w:type="dxa" w:w="100"/>
              <w:left w:type="dxa" w:w="120"/>
              <w:bottom w:type="dxa" w:w="100"/>
              <w:right w:type="dxa" w:w="120"/>
            </w:tcMar>
          </w:tcPr>
          <w:p>
            <w:r>
              <w:rPr>
                <w:b w:val="false"/>
                <w:bCs w:val="false"/>
              </w:rPr>
              <w:t xml:space="preserve">Trabajo social</w:t>
            </w:r>
          </w:p>
        </w:tc>
        <w:tc>
          <w:tcPr>
            <w:tcW w:type="dxa" w:w="1300"/>
            <w:tcMar>
              <w:top w:type="dxa" w:w="100"/>
              <w:left w:type="dxa" w:w="120"/>
              <w:bottom w:type="dxa" w:w="100"/>
              <w:right w:type="dxa" w:w="120"/>
            </w:tcMar>
          </w:tcPr>
          <w:p>
            <w:r>
              <w:rPr>
                <w:b w:val="false"/>
                <w:bCs w:val="false"/>
              </w:rPr>
              <w:t xml:space="preserve">—</w:t>
            </w:r>
          </w:p>
        </w:tc>
        <w:tc>
          <w:tcPr>
            <w:tcW w:type="dxa" w:w="1200"/>
            <w:tcMar>
              <w:top w:type="dxa" w:w="100"/>
              <w:left w:type="dxa" w:w="120"/>
              <w:bottom w:type="dxa" w:w="100"/>
              <w:right w:type="dxa" w:w="120"/>
            </w:tcMar>
          </w:tcPr>
          <w:p>
            <w:r>
              <w:rPr>
                <w:b w:val="false"/>
                <w:bCs w:val="false"/>
              </w:rPr>
              <w:t xml:space="preserve">1</w:t>
            </w:r>
          </w:p>
        </w:tc>
        <w:tc>
          <w:tcPr>
            <w:tcW w:type="dxa" w:w="1300"/>
            <w:tcMar>
              <w:top w:type="dxa" w:w="100"/>
              <w:left w:type="dxa" w:w="120"/>
              <w:bottom w:type="dxa" w:w="100"/>
              <w:right w:type="dxa" w:w="120"/>
            </w:tcMar>
          </w:tcPr>
          <w:p>
            <w:r>
              <w:rPr>
                <w:b w:val="false"/>
                <w:bCs w:val="false"/>
              </w:rPr>
              <w:t xml:space="preserve">90</w:t>
            </w:r>
          </w:p>
        </w:tc>
        <w:tc>
          <w:tcPr>
            <w:tcW w:type="dxa" w:w="1300"/>
            <w:tcMar>
              <w:top w:type="dxa" w:w="100"/>
              <w:left w:type="dxa" w:w="120"/>
              <w:bottom w:type="dxa" w:w="100"/>
              <w:right w:type="dxa" w:w="120"/>
            </w:tcMar>
          </w:tcPr>
          <w:p>
            <w:r>
              <w:rPr>
                <w:b w:val="false"/>
                <w:bCs w:val="false"/>
              </w:rPr>
              <w:t xml:space="preserve">$65.000</w:t>
            </w:r>
          </w:p>
        </w:tc>
        <w:tc>
          <w:tcPr>
            <w:tcW w:type="dxa" w:w="1300"/>
            <w:tcMar>
              <w:top w:type="dxa" w:w="100"/>
              <w:left w:type="dxa" w:w="120"/>
              <w:bottom w:type="dxa" w:w="100"/>
              <w:right w:type="dxa" w:w="120"/>
            </w:tcMar>
          </w:tcPr>
          <w:p>
            <w:r>
              <w:rPr>
                <w:b w:val="false"/>
                <w:bCs w:val="false"/>
              </w:rPr>
              <w:t xml:space="preserve">$60.000</w:t>
            </w:r>
          </w:p>
        </w:tc>
      </w:tr>
    </w:tbl>
    <w:p>
      <w:pPr>
        <w:spacing w:after="120"/>
      </w:pPr>
    </w:p>
    <w:p>
      <w:pPr>
        <w:pStyle w:val="Heading1"/>
        <w:spacing w:after="200" w:before="300"/>
      </w:pPr>
      <w:r>
        <w:t xml:space="preserve">5. Asignar el convenio a un paciente</w:t>
      </w:r>
    </w:p>
    <w:p>
      <w:pPr>
        <w:spacing w:after="100"/>
      </w:pPr>
      <w:r>
        <w:rPr>
          <w:b/>
          <w:bCs/>
          <w:color w:val="0A8F86"/>
        </w:rPr>
        <w:t xml:space="preserve">1. </w:t>
      </w:r>
      <w:r>
        <w:t xml:space="preserve">Desde la misma pantalla del convenio, en “Asignar este plan a un paciente”, buscar al paciente por nombre o documento.</w:t>
      </w:r>
    </w:p>
    <w:p>
      <w:pPr>
        <w:spacing w:after="100"/>
      </w:pPr>
      <w:r>
        <w:rPr>
          <w:b/>
          <w:bCs/>
          <w:color w:val="0A8F86"/>
        </w:rPr>
        <w:t xml:space="preserve">2. </w:t>
      </w:r>
      <w:r>
        <w:t xml:space="preserve">Indicar la “Fecha de ingreso al plan” — esta es la fecha que se usa como punto de partida para contar los ciclos, así que debe ser exacta.</w:t>
      </w:r>
    </w:p>
    <w:p>
      <w:pPr>
        <w:spacing w:after="100"/>
      </w:pPr>
      <w:r>
        <w:rPr>
          <w:b/>
          <w:bCs/>
          <w:color w:val="0A8F86"/>
        </w:rPr>
        <w:t xml:space="preserve">3. </w:t>
      </w:r>
      <w:r>
        <w:t xml:space="preserve">Presionar “Asignar”.</w:t>
      </w:r>
    </w:p>
    <w:p>
      <w:pPr>
        <w:spacing w:after="160"/>
      </w:pPr>
      <w:r>
        <w:rPr>
          <w:b w:val="false"/>
          <w:bCs w:val="false"/>
          <w:i w:val="false"/>
          <w:iCs w:val="false"/>
        </w:rPr>
        <w:t xml:space="preserve">Si el paciente ya tenía otro convenio asignado, ese anterior queda archivado en su historial (no se pierde), y el nuevo pasa a ser el activo.</w:t>
      </w:r>
    </w:p>
    <w:p>
      <w:pPr>
        <w:spacing w:after="120"/>
      </w:pPr>
    </w:p>
    <w:p>
      <w:pPr>
        <w:pStyle w:val="Heading1"/>
        <w:spacing w:after="200" w:before="300"/>
      </w:pPr>
      <w:r>
        <w:t xml:space="preserve">6. Cómo se genera la cuenta por cobrar (automático)</w:t>
      </w:r>
    </w:p>
    <w:p>
      <w:pPr>
        <w:spacing w:after="160"/>
      </w:pPr>
      <w:r>
        <w:rPr>
          <w:b w:val="false"/>
          <w:bCs w:val="false"/>
          <w:i w:val="false"/>
          <w:iCs w:val="false"/>
        </w:rPr>
        <w:t xml:space="preserve">No hay que hacer nada manual para esto. Cada vez que un profesional marca una visita como completada (desde la app, al finalizar la atención), el sistema:</w:t>
      </w:r>
    </w:p>
    <w:p>
      <w:pPr>
        <w:spacing w:after="100"/>
      </w:pPr>
      <w:r>
        <w:rPr>
          <w:b/>
          <w:bCs/>
          <w:color w:val="0A8F86"/>
        </w:rPr>
        <w:t xml:space="preserve">1. </w:t>
      </w:r>
      <w:r>
        <w:t xml:space="preserve">Revisa si el paciente tiene un convenio EPS asignado.</w:t>
      </w:r>
    </w:p>
    <w:p>
      <w:pPr>
        <w:spacing w:after="100"/>
      </w:pPr>
      <w:r>
        <w:rPr>
          <w:b/>
          <w:bCs/>
          <w:color w:val="0A8F86"/>
        </w:rPr>
        <w:t xml:space="preserve">2. </w:t>
      </w:r>
      <w:r>
        <w:t xml:space="preserve">Revisa si el servicio de esa visita está contemplado en el plan del convenio.</w:t>
      </w:r>
    </w:p>
    <w:p>
      <w:pPr>
        <w:spacing w:after="100"/>
      </w:pPr>
      <w:r>
        <w:rPr>
          <w:b/>
          <w:bCs/>
          <w:color w:val="0A8F86"/>
        </w:rPr>
        <w:t xml:space="preserve">3. </w:t>
      </w:r>
      <w:r>
        <w:t xml:space="preserve">Calcula en qué ciclo va (según la fecha de ingreso del paciente al plan).</w:t>
      </w:r>
    </w:p>
    <w:p>
      <w:pPr>
        <w:spacing w:after="100"/>
      </w:pPr>
      <w:r>
        <w:rPr>
          <w:b/>
          <w:bCs/>
          <w:color w:val="0A8F86"/>
        </w:rPr>
        <w:t xml:space="preserve">4. </w:t>
      </w:r>
      <w:r>
        <w:t xml:space="preserve">Cuenta cuántas veces se ha usado ese servicio (o su grupo compartido) en ese mismo ciclo.</w:t>
      </w:r>
    </w:p>
    <w:p>
      <w:pPr>
        <w:spacing w:after="100"/>
      </w:pPr>
      <w:r>
        <w:rPr>
          <w:b/>
          <w:bCs/>
          <w:color w:val="0A8F86"/>
        </w:rPr>
        <w:t xml:space="preserve">5. </w:t>
      </w:r>
      <w:r>
        <w:t xml:space="preserve">Si todavía está dentro del tope, genera la cuenta al valor normal; si ya se pasó, la genera al valor adicional.</w:t>
      </w:r>
    </w:p>
    <w:p>
      <w:pPr>
        <w:spacing w:after="160"/>
      </w:pPr>
      <w:r>
        <w:rPr>
          <w:b w:val="false"/>
          <w:bCs w:val="false"/>
          <w:i w:val="false"/>
          <w:iCs w:val="false"/>
        </w:rPr>
        <w:t xml:space="preserve">Si el paciente NO tiene convenio asignado, o el servicio prestado no está en su plan, simplemente no se genera ninguna cuenta — no es un error, solo significa que ese servicio no se está facturando a ninguna EPS por este medio.</w:t>
      </w:r>
    </w:p>
    <w:p>
      <w:pPr>
        <w:spacing w:after="120"/>
      </w:pPr>
    </w:p>
    <w:p>
      <w:pPr>
        <w:pStyle w:val="Heading1"/>
        <w:spacing w:after="200" w:before="300"/>
      </w:pPr>
      <w:r>
        <w:t xml:space="preserve">7. Generar las facturas (al momento del corte)</w:t>
      </w:r>
    </w:p>
    <w:p>
      <w:pPr>
        <w:spacing w:after="160"/>
      </w:pPr>
      <w:r>
        <w:rPr>
          <w:b w:val="false"/>
          <w:bCs w:val="false"/>
          <w:i w:val="false"/>
          <w:iCs w:val="false"/>
        </w:rPr>
        <w:t xml:space="preserve">En “Facturación por Plan” se ve, agrupado por EPS, todo lo que está pendiente de facturar en el rango de fechas que se elija. Desde ahí se generan las facturas, escogiendo cómo agruparlas: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00"/>
      </w:tblGrid>
      <w:tr>
        <w:trPr>
          <w:tblHeader/>
        </w:trPr>
        <w:tc>
          <w:tcPr>
            <w:tcW w:type="dxa" w:w="2200"/>
            <w:shd w:fill="0A8F86" w:val="clear"/>
            <w:tcMar>
              <w:top w:type="dxa" w:w="100"/>
              <w:left w:type="dxa" w:w="120"/>
              <w:bottom w:type="dxa" w:w="100"/>
              <w:right w:type="dxa" w:w="120"/>
            </w:tcMar>
          </w:tcPr>
          <w:p>
            <w:r>
              <w:rPr>
                <w:b/>
                <w:bCs/>
                <w:color w:val="FFFFFF"/>
              </w:rPr>
              <w:t xml:space="preserve">Modo</w:t>
            </w:r>
          </w:p>
        </w:tc>
        <w:tc>
          <w:tcPr>
            <w:tcW w:type="dxa" w:w="3800"/>
            <w:shd w:fill="0A8F86" w:val="clear"/>
            <w:tcMar>
              <w:top w:type="dxa" w:w="100"/>
              <w:left w:type="dxa" w:w="120"/>
              <w:bottom w:type="dxa" w:w="100"/>
              <w:right w:type="dxa" w:w="120"/>
            </w:tcMar>
          </w:tcPr>
          <w:p>
            <w:r>
              <w:rPr>
                <w:b/>
                <w:bCs/>
                <w:color w:val="FFFFFF"/>
              </w:rPr>
              <w:t xml:space="preserve">Qué hace</w:t>
            </w:r>
          </w:p>
        </w:tc>
        <w:tc>
          <w:tcPr>
            <w:tcW w:type="dxa" w:w="3300"/>
            <w:shd w:fill="0A8F86" w:val="clear"/>
            <w:tcMar>
              <w:top w:type="dxa" w:w="100"/>
              <w:left w:type="dxa" w:w="120"/>
              <w:bottom w:type="dxa" w:w="100"/>
              <w:right w:type="dxa" w:w="120"/>
            </w:tcMar>
          </w:tcPr>
          <w:p>
            <w:r>
              <w:rPr>
                <w:b/>
                <w:bCs/>
                <w:color w:val="FFFFFF"/>
              </w:rPr>
              <w:t xml:space="preserve">Cuándo usarlo</w:t>
            </w:r>
          </w:p>
        </w:tc>
      </w:tr>
      <w:tr>
        <w:tc>
          <w:tcPr>
            <w:tcW w:type="dxa" w:w="2200"/>
            <w:tcMar>
              <w:top w:type="dxa" w:w="100"/>
              <w:left w:type="dxa" w:w="120"/>
              <w:bottom w:type="dxa" w:w="100"/>
              <w:right w:type="dxa" w:w="120"/>
            </w:tcMar>
          </w:tcPr>
          <w:p>
            <w:r>
              <w:rPr>
                <w:b w:val="false"/>
                <w:bCs w:val="false"/>
              </w:rPr>
              <w:t xml:space="preserve">Por EPS</w:t>
            </w:r>
          </w:p>
        </w:tc>
        <w:tc>
          <w:tcPr>
            <w:tcW w:type="dxa" w:w="3800"/>
            <w:tcMar>
              <w:top w:type="dxa" w:w="100"/>
              <w:left w:type="dxa" w:w="120"/>
              <w:bottom w:type="dxa" w:w="100"/>
              <w:right w:type="dxa" w:w="120"/>
            </w:tcMar>
          </w:tcPr>
          <w:p>
            <w:r>
              <w:rPr>
                <w:b w:val="false"/>
                <w:bCs w:val="false"/>
              </w:rPr>
              <w:t xml:space="preserve">Una sola factura que junta TODOS los pacientes y servicios de esa EPS en el periodo.</w:t>
            </w:r>
          </w:p>
        </w:tc>
        <w:tc>
          <w:tcPr>
            <w:tcW w:type="dxa" w:w="3300"/>
            <w:tcMar>
              <w:top w:type="dxa" w:w="100"/>
              <w:left w:type="dxa" w:w="120"/>
              <w:bottom w:type="dxa" w:w="100"/>
              <w:right w:type="dxa" w:w="120"/>
            </w:tcMar>
          </w:tcPr>
          <w:p>
            <w:r>
              <w:rPr>
                <w:b w:val="false"/>
                <w:bCs w:val="false"/>
              </w:rPr>
              <w:t xml:space="preserve">Cuando la EPS pide un solo documento consolidado por periodo.</w:t>
            </w:r>
          </w:p>
        </w:tc>
      </w:tr>
      <w:tr>
        <w:tc>
          <w:tcPr>
            <w:tcW w:type="dxa" w:w="2200"/>
            <w:tcMar>
              <w:top w:type="dxa" w:w="100"/>
              <w:left w:type="dxa" w:w="120"/>
              <w:bottom w:type="dxa" w:w="100"/>
              <w:right w:type="dxa" w:w="120"/>
            </w:tcMar>
          </w:tcPr>
          <w:p>
            <w:r>
              <w:rPr>
                <w:b w:val="false"/>
                <w:bCs w:val="false"/>
              </w:rPr>
              <w:t xml:space="preserve">Por paciente</w:t>
            </w:r>
          </w:p>
        </w:tc>
        <w:tc>
          <w:tcPr>
            <w:tcW w:type="dxa" w:w="3800"/>
            <w:tcMar>
              <w:top w:type="dxa" w:w="100"/>
              <w:left w:type="dxa" w:w="120"/>
              <w:bottom w:type="dxa" w:w="100"/>
              <w:right w:type="dxa" w:w="120"/>
            </w:tcMar>
          </w:tcPr>
          <w:p>
            <w:r>
              <w:rPr>
                <w:b w:val="false"/>
                <w:bCs w:val="false"/>
              </w:rPr>
              <w:t xml:space="preserve">Una factura por cada paciente, con todos los servicios que se le prestaron juntos.</w:t>
            </w:r>
          </w:p>
        </w:tc>
        <w:tc>
          <w:tcPr>
            <w:tcW w:type="dxa" w:w="3300"/>
            <w:tcMar>
              <w:top w:type="dxa" w:w="100"/>
              <w:left w:type="dxa" w:w="120"/>
              <w:bottom w:type="dxa" w:w="100"/>
              <w:right w:type="dxa" w:w="120"/>
            </w:tcMar>
          </w:tcPr>
          <w:p>
            <w:r>
              <w:rPr>
                <w:b w:val="false"/>
                <w:bCs w:val="false"/>
              </w:rPr>
              <w:t xml:space="preserve">Cuando se necesita ver claramente cuánto se generó por cada paciente.</w:t>
            </w:r>
          </w:p>
        </w:tc>
      </w:tr>
      <w:tr>
        <w:tc>
          <w:tcPr>
            <w:tcW w:type="dxa" w:w="2200"/>
            <w:tcMar>
              <w:top w:type="dxa" w:w="100"/>
              <w:left w:type="dxa" w:w="120"/>
              <w:bottom w:type="dxa" w:w="100"/>
              <w:right w:type="dxa" w:w="120"/>
            </w:tcMar>
          </w:tcPr>
          <w:p>
            <w:r>
              <w:rPr>
                <w:b w:val="false"/>
                <w:bCs w:val="false"/>
              </w:rPr>
              <w:t xml:space="preserve">Por paciente y servicio</w:t>
            </w:r>
          </w:p>
        </w:tc>
        <w:tc>
          <w:tcPr>
            <w:tcW w:type="dxa" w:w="3800"/>
            <w:tcMar>
              <w:top w:type="dxa" w:w="100"/>
              <w:left w:type="dxa" w:w="120"/>
              <w:bottom w:type="dxa" w:w="100"/>
              <w:right w:type="dxa" w:w="120"/>
            </w:tcMar>
          </w:tcPr>
          <w:p>
            <w:r>
              <w:rPr>
                <w:b w:val="false"/>
                <w:bCs w:val="false"/>
              </w:rPr>
              <w:t xml:space="preserve">Una factura separada por cada combinación de paciente + tipo de servicio.</w:t>
            </w:r>
          </w:p>
        </w:tc>
        <w:tc>
          <w:tcPr>
            <w:tcW w:type="dxa" w:w="3300"/>
            <w:tcMar>
              <w:top w:type="dxa" w:w="100"/>
              <w:left w:type="dxa" w:w="120"/>
              <w:bottom w:type="dxa" w:w="100"/>
              <w:right w:type="dxa" w:w="120"/>
            </w:tcMar>
          </w:tcPr>
          <w:p>
            <w:r>
              <w:rPr>
                <w:b w:val="false"/>
                <w:bCs w:val="false"/>
              </w:rPr>
              <w:t xml:space="preserve">Cuando la EPS exige el detalle más desglosado posible.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5FBF9" w:val="clear"/>
            <w:tcMar>
              <w:top w:type="dxa" w:w="150"/>
              <w:left w:type="dxa" w:w="150"/>
              <w:bottom w:type="dxa" w:w="150"/>
              <w:right w:type="dxa" w:w="150"/>
            </w:tcMar>
          </w:tcPr>
          <w:p>
            <w:pPr>
              <w:spacing w:after="60"/>
            </w:pPr>
            <w:r>
              <w:rPr>
                <w:b/>
                <w:bCs/>
              </w:rPr>
              <w:t xml:space="preserve">✅ Importante: la factura SIEMPRE queda a nombre de la EPS</w:t>
            </w:r>
          </w:p>
          <w:p>
            <w:r>
              <w:t xml:space="preserve">Sin importar el modo que se elija, el “comprador” legal de la factura electrónica es siempre la EPS (con su NIT) — nunca un paciente individual, porque el contrato es con la EPS. Aun así, dentro del detalle de la factura (y en el PDF) se ve claramente qué paciente recibió cada servicio.</w:t>
            </w:r>
          </w:p>
        </w:tc>
      </w:tr>
    </w:tbl>
    <w:p>
      <w:pPr>
        <w:spacing w:after="120"/>
      </w:pPr>
    </w:p>
    <w:p>
      <w:pPr>
        <w:spacing w:after="160"/>
      </w:pPr>
      <w:r>
        <w:rPr>
          <w:b w:val="false"/>
          <w:bCs w:val="false"/>
          <w:i w:val="false"/>
          <w:iCs w:val="false"/>
        </w:rPr>
        <w:t xml:space="preserve">Una vez generadas, esas cuentas quedan marcadas como “Facturado” y ya no vuelven a aparecer como pendientes — así no hay riesgo de cobrar dos veces lo mismo.</w:t>
      </w:r>
    </w:p>
    <w:p>
      <w:pPr>
        <w:spacing w:after="120"/>
      </w:pPr>
    </w:p>
    <w:p>
      <w:pPr>
        <w:pStyle w:val="Heading1"/>
        <w:spacing w:after="200" w:before="300"/>
      </w:pPr>
      <w:r>
        <w:t xml:space="preserve">8. Preguntas frecuentes</w:t>
      </w:r>
    </w:p>
    <w:p>
      <w:pPr>
        <w:pStyle w:val="Heading2"/>
        <w:spacing w:after="120" w:before="240"/>
      </w:pPr>
      <w:r>
        <w:t xml:space="preserve">¿Qué pasa si cambian las tarifas de una EPS?</w:t>
      </w:r>
    </w:p>
    <w:p>
      <w:pPr>
        <w:spacing w:after="160"/>
      </w:pPr>
      <w:r>
        <w:rPr>
          <w:b w:val="false"/>
          <w:bCs w:val="false"/>
          <w:i w:val="false"/>
          <w:iCs w:val="false"/>
        </w:rPr>
        <w:t xml:space="preserve">Se entra al convenio correspondiente y se edita el servicio afectado (valor normal y/o adicional) — el cambio aplica desde ese momento en adelante; lo ya facturado no se modifica.</w:t>
      </w:r>
    </w:p>
    <w:p>
      <w:pPr>
        <w:pStyle w:val="Heading2"/>
        <w:spacing w:after="120" w:before="240"/>
      </w:pPr>
      <w:r>
        <w:t xml:space="preserve">¿Qué pasa si la EPS aumenta el número de sesiones cubiertas (por ejemplo, de 12 a 16 terapias)?</w:t>
      </w:r>
    </w:p>
    <w:p>
      <w:pPr>
        <w:spacing w:after="160"/>
      </w:pPr>
      <w:r>
        <w:rPr>
          <w:b w:val="false"/>
          <w:bCs w:val="false"/>
          <w:i w:val="false"/>
          <w:iCs w:val="false"/>
        </w:rPr>
        <w:t xml:space="preserve">Se edita el mismo servicio y se cambia “Cantidad incluida” — aplica para los ciclos que se calculen de ahí en adelante.</w:t>
      </w:r>
    </w:p>
    <w:p>
      <w:pPr>
        <w:pStyle w:val="Heading2"/>
        <w:spacing w:after="120" w:before="240"/>
      </w:pPr>
      <w:r>
        <w:t xml:space="preserve">¿Se puede tener más de un convenio vigente para la misma EPS?</w:t>
      </w:r>
    </w:p>
    <w:p>
      <w:pPr>
        <w:spacing w:after="160"/>
      </w:pPr>
      <w:r>
        <w:rPr>
          <w:b w:val="false"/>
          <w:bCs w:val="false"/>
          <w:i w:val="false"/>
          <w:iCs w:val="false"/>
        </w:rPr>
        <w:t xml:space="preserve">Sí — por ejemplo, si maneja un plan estándar y uno ampliado. Cada paciente solo puede tener UN convenio activo a la vez, así que se elige cuál le corresponde al asignarlo.</w:t>
      </w:r>
    </w:p>
    <w:p>
      <w:pPr>
        <w:pStyle w:val="Heading2"/>
        <w:spacing w:after="120" w:before="240"/>
      </w:pPr>
      <w:r>
        <w:t xml:space="preserve">¿Qué pasa si un paciente cambia de EPS?</w:t>
      </w:r>
    </w:p>
    <w:p>
      <w:pPr>
        <w:spacing w:after="160"/>
      </w:pPr>
      <w:r>
        <w:rPr>
          <w:b w:val="false"/>
          <w:bCs w:val="false"/>
          <w:i w:val="false"/>
          <w:iCs w:val="false"/>
        </w:rPr>
        <w:t xml:space="preserve">Se le asigna el nuevo convenio desde la pantalla correspondiente — el anterior queda en su historial, y los ciclos del nuevo convenio empiezan a contar desde la nueva fecha de ingreso que se indique.</w:t>
      </w:r>
    </w:p>
    <w:p>
      <w:pPr>
        <w:pStyle w:val="Heading2"/>
        <w:spacing w:after="120" w:before="240"/>
      </w:pPr>
      <w:r>
        <w:t xml:space="preserve">¿Qué pasa si se completa una visita de un servicio que no está en el plan del paciente?</w:t>
      </w:r>
    </w:p>
    <w:p>
      <w:pPr>
        <w:spacing w:after="160"/>
      </w:pPr>
      <w:r>
        <w:rPr>
          <w:b w:val="false"/>
          <w:bCs w:val="false"/>
          <w:i w:val="false"/>
          <w:iCs w:val="false"/>
        </w:rPr>
        <w:t xml:space="preserve">No pasa nada malo — simplemente no se genera ninguna cuenta por cobrar para ese servicio específico, porque el sistema entiende que no está cubierto por el convenio.</w:t>
      </w:r>
    </w:p>
    <w:p>
      <w:pPr>
        <w:spacing w:after="120"/>
      </w:pPr>
    </w:p>
    <w:p>
      <w:r>
        <w:rPr>
          <w:i/>
          <w:iCs/>
          <w:color w:val="6C757D"/>
          <w:sz w:val="18"/>
          <w:szCs w:val="18"/>
        </w:rPr>
        <w:t xml:space="preserve">HomeCare Enterprise — Manual interno de Convenios 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2026-07-16T11:29:21.583Z</dcterms:created>
  <dcterms:modified xsi:type="dcterms:W3CDTF">2026-07-16T11:29:21.595Z</dcterms:modified>
</cp:coreProperties>
</file>

<file path=docProps/custom.xml><?xml version="1.0" encoding="utf-8"?>
<Properties xmlns="http://schemas.openxmlformats.org/officeDocument/2006/custom-properties" xmlns:vt="http://schemas.openxmlformats.org/officeDocument/2006/docPropsVTypes"/>
</file>