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b/>
          <w:bCs/>
          <w:color w:val="1F4E79"/>
          <w:sz w:val="30"/>
          <w:szCs w:val="30"/>
        </w:rPr>
        <w:t xml:space="preserve">Ocar</w:t>
      </w:r>
    </w:p>
    <w:p>
      <w:pPr>
        <w:spacing w:after="400"/>
      </w:pPr>
      <w:r>
        <w:rPr>
          <w:b/>
          <w:bCs/>
          <w:sz w:val="44"/>
          <w:szCs w:val="44"/>
        </w:rPr>
        <w:t xml:space="preserve">Deployment &amp; CI/CD Architecture Review</w:t>
      </w:r>
    </w:p>
    <w:p>
      <w:pPr>
        <w:spacing w:after="100"/>
      </w:pPr>
      <w:r>
        <w:rPr>
          <w:i/>
          <w:iCs/>
          <w:color w:val="595959"/>
          <w:sz w:val="24"/>
          <w:szCs w:val="24"/>
        </w:rPr>
        <w:t xml:space="preserve">How the current pipeline maps to, and satisfies, industry-standard practice for a Node.js/TypeScript production system</w:t>
      </w:r>
    </w:p>
    <w:p>
      <w:pPr>
        <w:spacing w:after="40" w:before="300"/>
      </w:pPr>
      <w:r>
        <w:rPr>
          <w:color w:val="595959"/>
          <w:sz w:val="20"/>
          <w:szCs w:val="20"/>
        </w:rPr>
        <w:t xml:space="preserve">Prepared by: Sujal Ghosh</w:t>
      </w:r>
    </w:p>
    <w:p>
      <w:pPr>
        <w:spacing w:after="40"/>
      </w:pPr>
      <w:r>
        <w:rPr>
          <w:color w:val="595959"/>
          <w:sz w:val="20"/>
          <w:szCs w:val="20"/>
        </w:rPr>
        <w:t xml:space="preserve">Date: 5 August 2026</w:t>
      </w:r>
    </w:p>
    <w:p>
      <w:pPr>
        <w:spacing w:after="40"/>
      </w:pPr>
      <w:r>
        <w:rPr>
          <w:color w:val="595959"/>
          <w:sz w:val="20"/>
          <w:szCs w:val="20"/>
        </w:rPr>
        <w:t xml:space="preserve">Subject: Response to review comments on repository deployment strategy (Maven / WAR / Tomcat / Jenkins comparison)</w:t>
      </w:r>
    </w:p>
    <w:p>
      <w:r>
        <w:br w:type="page"/>
      </w:r>
    </w:p>
    <w:p>
      <w:pPr>
        <w:pStyle w:val="Heading1"/>
        <w:spacing w:after="160" w:before="360"/>
      </w:pPr>
      <w:r>
        <w:t xml:space="preserve">1. Executive Summary</w:t>
      </w:r>
    </w:p>
    <w:p>
      <w:pPr>
        <w:spacing w:after="160" w:line="300"/>
      </w:pPr>
      <w:r>
        <w:t xml:space="preserve">This document audits the CI/CD and deployment pipeline currently running in the Ocar monorepo, cross-checked line-by-line against the actual workflow and configuration files in the repository, and against current (2026) published guidance for Node.js/TypeScript production systems. It was prepared in response to review feedback suggesting the project should instead follow a Maven / WAR / Tomcat / Jenkins deployment model.</w:t>
      </w:r>
    </w:p>
    <w:p>
      <w:pPr>
        <w:spacing w:after="160" w:line="300"/>
      </w:pPr>
      <w:r>
        <w:t xml:space="preserve">The short version: Maven, WAR files, and Tomcat are build and runtime tooling specific to the Java Virtual Machine (JVM) ecosystem. This project is not a JVM application — the backend is TypeScript running on Node.js. There is no WAR-equivalent artifact in the Node.js world, and Tomcat has no role to play, because Node.js does not require a servlet container to serve HTTP requests. Jenkins, by contrast, is not JVM-specific — it is a general-purpose CI/CD orchestrator, and GitHub Actions (already in use here) is a directly comparable, widely-adopted alternative, not a lesser one.</w:t>
      </w:r>
    </w:p>
    <w:p>
      <w:pPr>
        <w:spacing w:after="160" w:line="300"/>
      </w:pPr>
      <w:r>
        <w:t xml:space="preserve">What follows is a full breakdown of the tooling actually in use, why each choice is the accepted standard for this stack, an explicit side-by-side mapping against the JVM toolchain that was raised in review, and an honest list of the few hardening items still open — because a credible audit names its own gaps rather than hiding them.</w:t>
      </w:r>
    </w:p>
    <w:p>
      <w:pPr>
        <w:pStyle w:val="Heading1"/>
        <w:spacing w:after="160" w:before="360"/>
      </w:pPr>
      <w:r>
        <w:t xml:space="preserve">2. Current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50"/>
      </w:tblGrid>
      <w:tr>
        <w:tc>
          <w:tcPr>
            <w:tcW w:type="dxa" w:w="1800"/>
            <w:shd w:fill="1F4E79" w:val="clear"/>
            <w:tcMar>
              <w:top w:type="dxa" w:w="100"/>
              <w:left w:type="dxa" w:w="120"/>
              <w:bottom w:type="dxa" w:w="100"/>
              <w:right w:type="dxa" w:w="120"/>
            </w:tcMar>
          </w:tcPr>
          <w:p>
            <w:r>
              <w:rPr>
                <w:b/>
                <w:bCs/>
                <w:color w:val="FFFFFF"/>
                <w:sz w:val="20"/>
                <w:szCs w:val="20"/>
              </w:rPr>
              <w:t xml:space="preserve">Layer</w:t>
            </w:r>
          </w:p>
        </w:tc>
        <w:tc>
          <w:tcPr>
            <w:tcW w:type="dxa" w:w="2600"/>
            <w:shd w:fill="1F4E79" w:val="clear"/>
            <w:tcMar>
              <w:top w:type="dxa" w:w="100"/>
              <w:left w:type="dxa" w:w="120"/>
              <w:bottom w:type="dxa" w:w="100"/>
              <w:right w:type="dxa" w:w="120"/>
            </w:tcMar>
          </w:tcPr>
          <w:p>
            <w:r>
              <w:rPr>
                <w:b/>
                <w:bCs/>
                <w:color w:val="FFFFFF"/>
                <w:sz w:val="20"/>
                <w:szCs w:val="20"/>
              </w:rPr>
              <w:t xml:space="preserve">Tool / Library</w:t>
            </w:r>
          </w:p>
        </w:tc>
        <w:tc>
          <w:tcPr>
            <w:tcW w:type="dxa" w:w="4950"/>
            <w:shd w:fill="1F4E79" w:val="clear"/>
            <w:tcMar>
              <w:top w:type="dxa" w:w="100"/>
              <w:left w:type="dxa" w:w="120"/>
              <w:bottom w:type="dxa" w:w="100"/>
              <w:right w:type="dxa" w:w="120"/>
            </w:tcMar>
          </w:tcPr>
          <w:p>
            <w:r>
              <w:rPr>
                <w:b/>
                <w:bCs/>
                <w:color w:val="FFFFFF"/>
                <w:sz w:val="20"/>
                <w:szCs w:val="20"/>
              </w:rPr>
              <w:t xml:space="preserve">Role</w:t>
            </w:r>
          </w:p>
        </w:tc>
      </w:tr>
      <w:tr>
        <w:tc>
          <w:tcPr>
            <w:tcW w:type="dxa" w:w="1800"/>
            <w:tcMar>
              <w:top w:type="dxa" w:w="100"/>
              <w:left w:type="dxa" w:w="120"/>
              <w:bottom w:type="dxa" w:w="100"/>
              <w:right w:type="dxa" w:w="120"/>
            </w:tcMar>
          </w:tcPr>
          <w:p>
            <w:r>
              <w:rPr>
                <w:b w:val="false"/>
                <w:bCs w:val="false"/>
                <w:color w:val="000000"/>
                <w:sz w:val="20"/>
                <w:szCs w:val="20"/>
              </w:rPr>
              <w:t xml:space="preserve">Language / runtime</w:t>
            </w:r>
          </w:p>
        </w:tc>
        <w:tc>
          <w:tcPr>
            <w:tcW w:type="dxa" w:w="2600"/>
            <w:tcMar>
              <w:top w:type="dxa" w:w="100"/>
              <w:left w:type="dxa" w:w="120"/>
              <w:bottom w:type="dxa" w:w="100"/>
              <w:right w:type="dxa" w:w="120"/>
            </w:tcMar>
          </w:tcPr>
          <w:p>
            <w:r>
              <w:rPr>
                <w:b w:val="false"/>
                <w:bCs w:val="false"/>
                <w:color w:val="000000"/>
                <w:sz w:val="20"/>
                <w:szCs w:val="20"/>
              </w:rPr>
              <w:t xml:space="preserve">TypeScript 5 → Node.js 22</w:t>
            </w:r>
          </w:p>
        </w:tc>
        <w:tc>
          <w:tcPr>
            <w:tcW w:type="dxa" w:w="4950"/>
            <w:tcMar>
              <w:top w:type="dxa" w:w="100"/>
              <w:left w:type="dxa" w:w="120"/>
              <w:bottom w:type="dxa" w:w="100"/>
              <w:right w:type="dxa" w:w="120"/>
            </w:tcMar>
          </w:tcPr>
          <w:p>
            <w:r>
              <w:rPr>
                <w:b w:val="false"/>
                <w:bCs w:val="false"/>
                <w:color w:val="000000"/>
                <w:sz w:val="20"/>
                <w:szCs w:val="20"/>
              </w:rPr>
              <w:t xml:space="preserve">Backend source is TypeScript; compiles to plain JavaScript, executed by the Node.js runtime</w:t>
            </w:r>
          </w:p>
        </w:tc>
      </w:tr>
      <w:tr>
        <w:tc>
          <w:tcPr>
            <w:tcW w:type="dxa" w:w="1800"/>
            <w:tcMar>
              <w:top w:type="dxa" w:w="100"/>
              <w:left w:type="dxa" w:w="120"/>
              <w:bottom w:type="dxa" w:w="100"/>
              <w:right w:type="dxa" w:w="120"/>
            </w:tcMar>
          </w:tcPr>
          <w:p>
            <w:r>
              <w:rPr>
                <w:b w:val="false"/>
                <w:bCs w:val="false"/>
                <w:color w:val="000000"/>
                <w:sz w:val="20"/>
                <w:szCs w:val="20"/>
              </w:rPr>
              <w:t xml:space="preserve">Package manager</w:t>
            </w:r>
          </w:p>
        </w:tc>
        <w:tc>
          <w:tcPr>
            <w:tcW w:type="dxa" w:w="2600"/>
            <w:tcMar>
              <w:top w:type="dxa" w:w="100"/>
              <w:left w:type="dxa" w:w="120"/>
              <w:bottom w:type="dxa" w:w="100"/>
              <w:right w:type="dxa" w:w="120"/>
            </w:tcMar>
          </w:tcPr>
          <w:p>
            <w:r>
              <w:rPr>
                <w:b w:val="false"/>
                <w:bCs w:val="false"/>
                <w:color w:val="000000"/>
                <w:sz w:val="20"/>
                <w:szCs w:val="20"/>
              </w:rPr>
              <w:t xml:space="preserve">pnpm 9 (workspaces)</w:t>
            </w:r>
          </w:p>
        </w:tc>
        <w:tc>
          <w:tcPr>
            <w:tcW w:type="dxa" w:w="4950"/>
            <w:tcMar>
              <w:top w:type="dxa" w:w="100"/>
              <w:left w:type="dxa" w:w="120"/>
              <w:bottom w:type="dxa" w:w="100"/>
              <w:right w:type="dxa" w:w="120"/>
            </w:tcMar>
          </w:tcPr>
          <w:p>
            <w:r>
              <w:rPr>
                <w:b w:val="false"/>
                <w:bCs w:val="false"/>
                <w:color w:val="000000"/>
                <w:sz w:val="20"/>
                <w:szCs w:val="20"/>
              </w:rPr>
              <w:t xml:space="preserve">Dependency installation and monorepo task orchestration — pnpm's role is equivalent to Maven's dependency-resolution role, not its compiler role</w:t>
            </w:r>
          </w:p>
        </w:tc>
      </w:tr>
      <w:tr>
        <w:tc>
          <w:tcPr>
            <w:tcW w:type="dxa" w:w="1800"/>
            <w:tcMar>
              <w:top w:type="dxa" w:w="100"/>
              <w:left w:type="dxa" w:w="120"/>
              <w:bottom w:type="dxa" w:w="100"/>
              <w:right w:type="dxa" w:w="120"/>
            </w:tcMar>
          </w:tcPr>
          <w:p>
            <w:r>
              <w:rPr>
                <w:b w:val="false"/>
                <w:bCs w:val="false"/>
                <w:color w:val="000000"/>
                <w:sz w:val="20"/>
                <w:szCs w:val="20"/>
              </w:rPr>
              <w:t xml:space="preserve">Build / compiler</w:t>
            </w:r>
          </w:p>
        </w:tc>
        <w:tc>
          <w:tcPr>
            <w:tcW w:type="dxa" w:w="2600"/>
            <w:tcMar>
              <w:top w:type="dxa" w:w="100"/>
              <w:left w:type="dxa" w:w="120"/>
              <w:bottom w:type="dxa" w:w="100"/>
              <w:right w:type="dxa" w:w="120"/>
            </w:tcMar>
          </w:tcPr>
          <w:p>
            <w:r>
              <w:rPr>
                <w:b w:val="false"/>
                <w:bCs w:val="false"/>
                <w:color w:val="000000"/>
                <w:sz w:val="20"/>
                <w:szCs w:val="20"/>
              </w:rPr>
              <w:t xml:space="preserve">tsc (TypeScript compiler), via `pnpm build`</w:t>
            </w:r>
          </w:p>
        </w:tc>
        <w:tc>
          <w:tcPr>
            <w:tcW w:type="dxa" w:w="4950"/>
            <w:tcMar>
              <w:top w:type="dxa" w:w="100"/>
              <w:left w:type="dxa" w:w="120"/>
              <w:bottom w:type="dxa" w:w="100"/>
              <w:right w:type="dxa" w:w="120"/>
            </w:tcMar>
          </w:tcPr>
          <w:p>
            <w:r>
              <w:rPr>
                <w:b w:val="false"/>
                <w:bCs w:val="false"/>
                <w:color w:val="000000"/>
                <w:sz w:val="20"/>
                <w:szCs w:val="20"/>
              </w:rPr>
              <w:t xml:space="preserve">Transpiles .ts → .js; produces the deployable dist/ artifact, directly analogous to javac producing .class files</w:t>
            </w:r>
          </w:p>
        </w:tc>
      </w:tr>
      <w:tr>
        <w:tc>
          <w:tcPr>
            <w:tcW w:type="dxa" w:w="1800"/>
            <w:tcMar>
              <w:top w:type="dxa" w:w="100"/>
              <w:left w:type="dxa" w:w="120"/>
              <w:bottom w:type="dxa" w:w="100"/>
              <w:right w:type="dxa" w:w="120"/>
            </w:tcMar>
          </w:tcPr>
          <w:p>
            <w:r>
              <w:rPr>
                <w:b w:val="false"/>
                <w:bCs w:val="false"/>
                <w:color w:val="000000"/>
                <w:sz w:val="20"/>
                <w:szCs w:val="20"/>
              </w:rPr>
              <w:t xml:space="preserve">Monorepo orchestration</w:t>
            </w:r>
          </w:p>
        </w:tc>
        <w:tc>
          <w:tcPr>
            <w:tcW w:type="dxa" w:w="2600"/>
            <w:tcMar>
              <w:top w:type="dxa" w:w="100"/>
              <w:left w:type="dxa" w:w="120"/>
              <w:bottom w:type="dxa" w:w="100"/>
              <w:right w:type="dxa" w:w="120"/>
            </w:tcMar>
          </w:tcPr>
          <w:p>
            <w:r>
              <w:rPr>
                <w:b w:val="false"/>
                <w:bCs w:val="false"/>
                <w:color w:val="000000"/>
                <w:sz w:val="20"/>
                <w:szCs w:val="20"/>
              </w:rPr>
              <w:t xml:space="preserve">Turborepo</w:t>
            </w:r>
          </w:p>
        </w:tc>
        <w:tc>
          <w:tcPr>
            <w:tcW w:type="dxa" w:w="4950"/>
            <w:tcMar>
              <w:top w:type="dxa" w:w="100"/>
              <w:left w:type="dxa" w:w="120"/>
              <w:bottom w:type="dxa" w:w="100"/>
              <w:right w:type="dxa" w:w="120"/>
            </w:tcMar>
          </w:tcPr>
          <w:p>
            <w:r>
              <w:rPr>
                <w:b w:val="false"/>
                <w:bCs w:val="false"/>
                <w:color w:val="000000"/>
                <w:sz w:val="20"/>
                <w:szCs w:val="20"/>
              </w:rPr>
              <w:t xml:space="preserve">Runs lint/typecheck/build across api, apps/user, apps/driver, apps/admin with caching</w:t>
            </w:r>
          </w:p>
        </w:tc>
      </w:tr>
      <w:tr>
        <w:tc>
          <w:tcPr>
            <w:tcW w:type="dxa" w:w="1800"/>
            <w:tcMar>
              <w:top w:type="dxa" w:w="100"/>
              <w:left w:type="dxa" w:w="120"/>
              <w:bottom w:type="dxa" w:w="100"/>
              <w:right w:type="dxa" w:w="120"/>
            </w:tcMar>
          </w:tcPr>
          <w:p>
            <w:r>
              <w:rPr>
                <w:b w:val="false"/>
                <w:bCs w:val="false"/>
                <w:color w:val="000000"/>
                <w:sz w:val="20"/>
                <w:szCs w:val="20"/>
              </w:rPr>
              <w:t xml:space="preserve">Packaging artifact</w:t>
            </w:r>
          </w:p>
        </w:tc>
        <w:tc>
          <w:tcPr>
            <w:tcW w:type="dxa" w:w="2600"/>
            <w:tcMar>
              <w:top w:type="dxa" w:w="100"/>
              <w:left w:type="dxa" w:w="120"/>
              <w:bottom w:type="dxa" w:w="100"/>
              <w:right w:type="dxa" w:w="120"/>
            </w:tcMar>
          </w:tcPr>
          <w:p>
            <w:r>
              <w:rPr>
                <w:b w:val="false"/>
                <w:bCs w:val="false"/>
                <w:color w:val="000000"/>
                <w:sz w:val="20"/>
                <w:szCs w:val="20"/>
              </w:rPr>
              <w:t xml:space="preserve">Docker image (multi-stage)</w:t>
            </w:r>
          </w:p>
        </w:tc>
        <w:tc>
          <w:tcPr>
            <w:tcW w:type="dxa" w:w="4950"/>
            <w:tcMar>
              <w:top w:type="dxa" w:w="100"/>
              <w:left w:type="dxa" w:w="120"/>
              <w:bottom w:type="dxa" w:w="100"/>
              <w:right w:type="dxa" w:w="120"/>
            </w:tcMar>
          </w:tcPr>
          <w:p>
            <w:r>
              <w:rPr>
                <w:b w:val="false"/>
                <w:bCs w:val="false"/>
                <w:color w:val="000000"/>
                <w:sz w:val="20"/>
                <w:szCs w:val="20"/>
              </w:rPr>
              <w:t xml:space="preserve">The single deployable unit — functionally the same role a WAR file plays for a Java web app</w:t>
            </w:r>
          </w:p>
        </w:tc>
      </w:tr>
      <w:tr>
        <w:tc>
          <w:tcPr>
            <w:tcW w:type="dxa" w:w="1800"/>
            <w:tcMar>
              <w:top w:type="dxa" w:w="100"/>
              <w:left w:type="dxa" w:w="120"/>
              <w:bottom w:type="dxa" w:w="100"/>
              <w:right w:type="dxa" w:w="120"/>
            </w:tcMar>
          </w:tcPr>
          <w:p>
            <w:r>
              <w:rPr>
                <w:b w:val="false"/>
                <w:bCs w:val="false"/>
                <w:color w:val="000000"/>
                <w:sz w:val="20"/>
                <w:szCs w:val="20"/>
              </w:rPr>
              <w:t xml:space="preserve">Container runtime</w:t>
            </w:r>
          </w:p>
        </w:tc>
        <w:tc>
          <w:tcPr>
            <w:tcW w:type="dxa" w:w="2600"/>
            <w:tcMar>
              <w:top w:type="dxa" w:w="100"/>
              <w:left w:type="dxa" w:w="120"/>
              <w:bottom w:type="dxa" w:w="100"/>
              <w:right w:type="dxa" w:w="120"/>
            </w:tcMar>
          </w:tcPr>
          <w:p>
            <w:r>
              <w:rPr>
                <w:b w:val="false"/>
                <w:bCs w:val="false"/>
                <w:color w:val="000000"/>
                <w:sz w:val="20"/>
                <w:szCs w:val="20"/>
              </w:rPr>
              <w:t xml:space="preserve">Docker / Alpine Linux base</w:t>
            </w:r>
          </w:p>
        </w:tc>
        <w:tc>
          <w:tcPr>
            <w:tcW w:type="dxa" w:w="4950"/>
            <w:tcMar>
              <w:top w:type="dxa" w:w="100"/>
              <w:left w:type="dxa" w:w="120"/>
              <w:bottom w:type="dxa" w:w="100"/>
              <w:right w:type="dxa" w:w="120"/>
            </w:tcMar>
          </w:tcPr>
          <w:p>
            <w:r>
              <w:rPr>
                <w:b w:val="false"/>
                <w:bCs w:val="false"/>
                <w:color w:val="000000"/>
                <w:sz w:val="20"/>
                <w:szCs w:val="20"/>
              </w:rPr>
              <w:t xml:space="preserve">Executes the compiled JS directly via `node dist/server.js` — no external application server needed</w:t>
            </w:r>
          </w:p>
        </w:tc>
      </w:tr>
      <w:tr>
        <w:tc>
          <w:tcPr>
            <w:tcW w:type="dxa" w:w="1800"/>
            <w:tcMar>
              <w:top w:type="dxa" w:w="100"/>
              <w:left w:type="dxa" w:w="120"/>
              <w:bottom w:type="dxa" w:w="100"/>
              <w:right w:type="dxa" w:w="120"/>
            </w:tcMar>
          </w:tcPr>
          <w:p>
            <w:r>
              <w:rPr>
                <w:b w:val="false"/>
                <w:bCs w:val="false"/>
                <w:color w:val="000000"/>
                <w:sz w:val="20"/>
                <w:szCs w:val="20"/>
              </w:rPr>
              <w:t xml:space="preserve">Container registry</w:t>
            </w:r>
          </w:p>
        </w:tc>
        <w:tc>
          <w:tcPr>
            <w:tcW w:type="dxa" w:w="2600"/>
            <w:tcMar>
              <w:top w:type="dxa" w:w="100"/>
              <w:left w:type="dxa" w:w="120"/>
              <w:bottom w:type="dxa" w:w="100"/>
              <w:right w:type="dxa" w:w="120"/>
            </w:tcMar>
          </w:tcPr>
          <w:p>
            <w:r>
              <w:rPr>
                <w:b w:val="false"/>
                <w:bCs w:val="false"/>
                <w:color w:val="000000"/>
                <w:sz w:val="20"/>
                <w:szCs w:val="20"/>
              </w:rPr>
              <w:t xml:space="preserve">GitHub Container Registry (GHCR)</w:t>
            </w:r>
          </w:p>
        </w:tc>
        <w:tc>
          <w:tcPr>
            <w:tcW w:type="dxa" w:w="4950"/>
            <w:tcMar>
              <w:top w:type="dxa" w:w="100"/>
              <w:left w:type="dxa" w:w="120"/>
              <w:bottom w:type="dxa" w:w="100"/>
              <w:right w:type="dxa" w:w="120"/>
            </w:tcMar>
          </w:tcPr>
          <w:p>
            <w:r>
              <w:rPr>
                <w:b w:val="false"/>
                <w:bCs w:val="false"/>
                <w:color w:val="000000"/>
                <w:sz w:val="20"/>
                <w:szCs w:val="20"/>
              </w:rPr>
              <w:t xml:space="preserve">Stores built images, tagged immutably by git SHA</w:t>
            </w:r>
          </w:p>
        </w:tc>
      </w:tr>
      <w:tr>
        <w:tc>
          <w:tcPr>
            <w:tcW w:type="dxa" w:w="1800"/>
            <w:tcMar>
              <w:top w:type="dxa" w:w="100"/>
              <w:left w:type="dxa" w:w="120"/>
              <w:bottom w:type="dxa" w:w="100"/>
              <w:right w:type="dxa" w:w="120"/>
            </w:tcMar>
          </w:tcPr>
          <w:p>
            <w:r>
              <w:rPr>
                <w:b w:val="false"/>
                <w:bCs w:val="false"/>
                <w:color w:val="000000"/>
                <w:sz w:val="20"/>
                <w:szCs w:val="20"/>
              </w:rPr>
              <w:t xml:space="preserve">CI/CD orchestrator</w:t>
            </w:r>
          </w:p>
        </w:tc>
        <w:tc>
          <w:tcPr>
            <w:tcW w:type="dxa" w:w="2600"/>
            <w:tcMar>
              <w:top w:type="dxa" w:w="100"/>
              <w:left w:type="dxa" w:w="120"/>
              <w:bottom w:type="dxa" w:w="100"/>
              <w:right w:type="dxa" w:w="120"/>
            </w:tcMar>
          </w:tcPr>
          <w:p>
            <w:r>
              <w:rPr>
                <w:b w:val="false"/>
                <w:bCs w:val="false"/>
                <w:color w:val="000000"/>
                <w:sz w:val="20"/>
                <w:szCs w:val="20"/>
              </w:rPr>
              <w:t xml:space="preserve">GitHub Actions</w:t>
            </w:r>
          </w:p>
        </w:tc>
        <w:tc>
          <w:tcPr>
            <w:tcW w:type="dxa" w:w="4950"/>
            <w:tcMar>
              <w:top w:type="dxa" w:w="100"/>
              <w:left w:type="dxa" w:w="120"/>
              <w:bottom w:type="dxa" w:w="100"/>
              <w:right w:type="dxa" w:w="120"/>
            </w:tcMar>
          </w:tcPr>
          <w:p>
            <w:r>
              <w:rPr>
                <w:b w:val="false"/>
                <w:bCs w:val="false"/>
                <w:color w:val="000000"/>
                <w:sz w:val="20"/>
                <w:szCs w:val="20"/>
              </w:rPr>
              <w:t xml:space="preserve">Runs lint, typecheck, tests, image build/push, and remote deploy — the same role Jenkins plays</w:t>
            </w:r>
          </w:p>
        </w:tc>
      </w:tr>
      <w:tr>
        <w:tc>
          <w:tcPr>
            <w:tcW w:type="dxa" w:w="1800"/>
            <w:tcMar>
              <w:top w:type="dxa" w:w="100"/>
              <w:left w:type="dxa" w:w="120"/>
              <w:bottom w:type="dxa" w:w="100"/>
              <w:right w:type="dxa" w:w="120"/>
            </w:tcMar>
          </w:tcPr>
          <w:p>
            <w:r>
              <w:rPr>
                <w:b w:val="false"/>
                <w:bCs w:val="false"/>
                <w:color w:val="000000"/>
                <w:sz w:val="20"/>
                <w:szCs w:val="20"/>
              </w:rPr>
              <w:t xml:space="preserve">Deploy target</w:t>
            </w:r>
          </w:p>
        </w:tc>
        <w:tc>
          <w:tcPr>
            <w:tcW w:type="dxa" w:w="2600"/>
            <w:tcMar>
              <w:top w:type="dxa" w:w="100"/>
              <w:left w:type="dxa" w:w="120"/>
              <w:bottom w:type="dxa" w:w="100"/>
              <w:right w:type="dxa" w:w="120"/>
            </w:tcMar>
          </w:tcPr>
          <w:p>
            <w:r>
              <w:rPr>
                <w:b w:val="false"/>
                <w:bCs w:val="false"/>
                <w:color w:val="000000"/>
                <w:sz w:val="20"/>
                <w:szCs w:val="20"/>
              </w:rPr>
              <w:t xml:space="preserve">Self-managed VPS running Docker Compose</w:t>
            </w:r>
          </w:p>
        </w:tc>
        <w:tc>
          <w:tcPr>
            <w:tcW w:type="dxa" w:w="4950"/>
            <w:tcMar>
              <w:top w:type="dxa" w:w="100"/>
              <w:left w:type="dxa" w:w="120"/>
              <w:bottom w:type="dxa" w:w="100"/>
              <w:right w:type="dxa" w:w="120"/>
            </w:tcMar>
          </w:tcPr>
          <w:p>
            <w:r>
              <w:rPr>
                <w:b w:val="false"/>
                <w:bCs w:val="false"/>
                <w:color w:val="000000"/>
                <w:sz w:val="20"/>
                <w:szCs w:val="20"/>
              </w:rPr>
              <w:t xml:space="preserve">Pulls the tagged image, runs migrations, cuts over with health-check gating</w:t>
            </w:r>
          </w:p>
        </w:tc>
      </w:tr>
      <w:tr>
        <w:tc>
          <w:tcPr>
            <w:tcW w:type="dxa" w:w="1800"/>
            <w:tcMar>
              <w:top w:type="dxa" w:w="100"/>
              <w:left w:type="dxa" w:w="120"/>
              <w:bottom w:type="dxa" w:w="100"/>
              <w:right w:type="dxa" w:w="120"/>
            </w:tcMar>
          </w:tcPr>
          <w:p>
            <w:r>
              <w:rPr>
                <w:b w:val="false"/>
                <w:bCs w:val="false"/>
                <w:color w:val="000000"/>
                <w:sz w:val="20"/>
                <w:szCs w:val="20"/>
              </w:rPr>
              <w:t xml:space="preserve">Reverse proxy / TLS</w:t>
            </w:r>
          </w:p>
        </w:tc>
        <w:tc>
          <w:tcPr>
            <w:tcW w:type="dxa" w:w="2600"/>
            <w:tcMar>
              <w:top w:type="dxa" w:w="100"/>
              <w:left w:type="dxa" w:w="120"/>
              <w:bottom w:type="dxa" w:w="100"/>
              <w:right w:type="dxa" w:w="120"/>
            </w:tcMar>
          </w:tcPr>
          <w:p>
            <w:r>
              <w:rPr>
                <w:b w:val="false"/>
                <w:bCs w:val="false"/>
                <w:color w:val="000000"/>
                <w:sz w:val="20"/>
                <w:szCs w:val="20"/>
              </w:rPr>
              <w:t xml:space="preserve">nginx + Let's Encrypt (certbot)</w:t>
            </w:r>
          </w:p>
        </w:tc>
        <w:tc>
          <w:tcPr>
            <w:tcW w:type="dxa" w:w="4950"/>
            <w:tcMar>
              <w:top w:type="dxa" w:w="100"/>
              <w:left w:type="dxa" w:w="120"/>
              <w:bottom w:type="dxa" w:w="100"/>
              <w:right w:type="dxa" w:w="120"/>
            </w:tcMar>
          </w:tcPr>
          <w:p>
            <w:r>
              <w:rPr>
                <w:b w:val="false"/>
                <w:bCs w:val="false"/>
                <w:color w:val="000000"/>
                <w:sz w:val="20"/>
                <w:szCs w:val="20"/>
              </w:rPr>
              <w:t xml:space="preserve">Terminates TLS, routes traffic to the API container</w:t>
            </w:r>
          </w:p>
        </w:tc>
      </w:tr>
      <w:tr>
        <w:tc>
          <w:tcPr>
            <w:tcW w:type="dxa" w:w="1800"/>
            <w:tcMar>
              <w:top w:type="dxa" w:w="100"/>
              <w:left w:type="dxa" w:w="120"/>
              <w:bottom w:type="dxa" w:w="100"/>
              <w:right w:type="dxa" w:w="120"/>
            </w:tcMar>
          </w:tcPr>
          <w:p>
            <w:r>
              <w:rPr>
                <w:b w:val="false"/>
                <w:bCs w:val="false"/>
                <w:color w:val="000000"/>
                <w:sz w:val="20"/>
                <w:szCs w:val="20"/>
              </w:rPr>
              <w:t xml:space="preserve">Observability</w:t>
            </w:r>
          </w:p>
        </w:tc>
        <w:tc>
          <w:tcPr>
            <w:tcW w:type="dxa" w:w="2600"/>
            <w:tcMar>
              <w:top w:type="dxa" w:w="100"/>
              <w:left w:type="dxa" w:w="120"/>
              <w:bottom w:type="dxa" w:w="100"/>
              <w:right w:type="dxa" w:w="120"/>
            </w:tcMar>
          </w:tcPr>
          <w:p>
            <w:r>
              <w:rPr>
                <w:b w:val="false"/>
                <w:bCs w:val="false"/>
                <w:color w:val="000000"/>
                <w:sz w:val="20"/>
                <w:szCs w:val="20"/>
              </w:rPr>
              <w:t xml:space="preserve">Prometheus + Grafana + node-exporter + cAdvisor</w:t>
            </w:r>
          </w:p>
        </w:tc>
        <w:tc>
          <w:tcPr>
            <w:tcW w:type="dxa" w:w="4950"/>
            <w:tcMar>
              <w:top w:type="dxa" w:w="100"/>
              <w:left w:type="dxa" w:w="120"/>
              <w:bottom w:type="dxa" w:w="100"/>
              <w:right w:type="dxa" w:w="120"/>
            </w:tcMar>
          </w:tcPr>
          <w:p>
            <w:r>
              <w:rPr>
                <w:b w:val="false"/>
                <w:bCs w:val="false"/>
                <w:color w:val="000000"/>
                <w:sz w:val="20"/>
                <w:szCs w:val="20"/>
              </w:rPr>
              <w:t xml:space="preserve">Metrics collection and dashboards, internal-network only</w:t>
            </w:r>
          </w:p>
        </w:tc>
      </w:tr>
      <w:tr>
        <w:tc>
          <w:tcPr>
            <w:tcW w:type="dxa" w:w="1800"/>
            <w:tcMar>
              <w:top w:type="dxa" w:w="100"/>
              <w:left w:type="dxa" w:w="120"/>
              <w:bottom w:type="dxa" w:w="100"/>
              <w:right w:type="dxa" w:w="120"/>
            </w:tcMar>
          </w:tcPr>
          <w:p>
            <w:r>
              <w:rPr>
                <w:b w:val="false"/>
                <w:bCs w:val="false"/>
                <w:color w:val="000000"/>
                <w:sz w:val="20"/>
                <w:szCs w:val="20"/>
              </w:rPr>
              <w:t xml:space="preserve">Database</w:t>
            </w:r>
          </w:p>
        </w:tc>
        <w:tc>
          <w:tcPr>
            <w:tcW w:type="dxa" w:w="2600"/>
            <w:tcMar>
              <w:top w:type="dxa" w:w="100"/>
              <w:left w:type="dxa" w:w="120"/>
              <w:bottom w:type="dxa" w:w="100"/>
              <w:right w:type="dxa" w:w="120"/>
            </w:tcMar>
          </w:tcPr>
          <w:p>
            <w:r>
              <w:rPr>
                <w:b w:val="false"/>
                <w:bCs w:val="false"/>
                <w:color w:val="000000"/>
                <w:sz w:val="20"/>
                <w:szCs w:val="20"/>
              </w:rPr>
              <w:t xml:space="preserve">PostgreSQL 18 + PostGIS (Docker)</w:t>
            </w:r>
          </w:p>
        </w:tc>
        <w:tc>
          <w:tcPr>
            <w:tcW w:type="dxa" w:w="4950"/>
            <w:tcMar>
              <w:top w:type="dxa" w:w="100"/>
              <w:left w:type="dxa" w:w="120"/>
              <w:bottom w:type="dxa" w:w="100"/>
              <w:right w:type="dxa" w:w="120"/>
            </w:tcMar>
          </w:tcPr>
          <w:p>
            <w:r>
              <w:rPr>
                <w:b w:val="false"/>
                <w:bCs w:val="false"/>
                <w:color w:val="000000"/>
                <w:sz w:val="20"/>
                <w:szCs w:val="20"/>
              </w:rPr>
              <w:t xml:space="preserve">Primary datastore with geospatial extension</w:t>
            </w:r>
          </w:p>
        </w:tc>
      </w:tr>
    </w:tbl>
    <w:p>
      <w:pPr>
        <w:pStyle w:val="Heading1"/>
        <w:spacing w:after="160" w:before="360"/>
      </w:pPr>
      <w:r>
        <w:t xml:space="preserve">3. CI/CD Pipeline — What Actually Runs on Every Push</w:t>
      </w:r>
    </w:p>
    <w:p>
      <w:pPr>
        <w:spacing w:after="160" w:line="300"/>
      </w:pPr>
      <w:r>
        <w:t xml:space="preserve">The pipeline is split into two GitHub Actions workflows, both defined in .github/workflows/. This is the actual, current content of those files, not a description from memory.</w:t>
      </w:r>
    </w:p>
    <w:p>
      <w:pPr>
        <w:pStyle w:val="Heading2"/>
        <w:spacing w:after="120" w:before="280"/>
      </w:pPr>
      <w:r>
        <w:t xml:space="preserve">3.1 ci.yml — runs on every push and pull request</w:t>
      </w:r>
    </w:p>
    <w:p>
      <w:pPr>
        <w:pStyle w:val="ListParagraph"/>
        <w:numPr>
          <w:ilvl w:val="0"/>
          <w:numId w:val="1"/>
        </w:numPr>
        <w:spacing w:after="90" w:line="280"/>
      </w:pPr>
      <w:r>
        <w:t xml:space="preserve">Lint — pnpm turbo run lint across every workspace package.</w:t>
      </w:r>
    </w:p>
    <w:p>
      <w:pPr>
        <w:pStyle w:val="ListParagraph"/>
        <w:numPr>
          <w:ilvl w:val="0"/>
          <w:numId w:val="1"/>
        </w:numPr>
        <w:spacing w:after="90" w:line="280"/>
      </w:pPr>
      <w:r>
        <w:t xml:space="preserve">Typecheck (API, User, Driver, Admin) — four independent jobs, each running tsc --noEmit against its own package, so a type error in one app cannot be masked by another.</w:t>
      </w:r>
    </w:p>
    <w:p>
      <w:pPr>
        <w:pStyle w:val="ListParagraph"/>
        <w:numPr>
          <w:ilvl w:val="0"/>
          <w:numId w:val="1"/>
        </w:numPr>
        <w:spacing w:after="90" w:line="280"/>
      </w:pPr>
      <w:r>
        <w:t xml:space="preserve">Test API — spins up real service containers (postgis/postgis:17-3.5 and redis:7-alpine) as GitHub Actions “services”, waits on their health checks, runs the actual database migrations against that fresh instance, then runs the full API test suite against it. This is integration-grade testing against real infrastructure, not mocked stand-ins.</w:t>
      </w:r>
    </w:p>
    <w:p>
      <w:pPr>
        <w:spacing w:after="160" w:line="300"/>
      </w:pPr>
      <w:r>
        <w:t xml:space="preserve">All five jobs must pass before a pull request can be considered mergeable. Nothing is packaged or shipped at this stage — this workflow only verifies correctness.</w:t>
      </w:r>
    </w:p>
    <w:p>
      <w:pPr>
        <w:pStyle w:val="Heading2"/>
        <w:spacing w:after="120" w:before="280"/>
      </w:pPr>
      <w:r>
        <w:t xml:space="preserve">3.2 deploy-api.yml — runs on push to main, scoped to relevant paths</w:t>
      </w:r>
    </w:p>
    <w:p>
      <w:pPr>
        <w:spacing w:after="160" w:line="300"/>
      </w:pPr>
      <w:r>
        <w:t xml:space="preserve">This workflow only triggers when a change actually touches api/**, docker-compose.prod.yml, infra/**, or the workflow file itself — a frontend-only commit does not trigger an API deploy.</w:t>
      </w:r>
    </w:p>
    <w:p>
      <w:pPr>
        <w:spacing w:after="160" w:line="300"/>
      </w:pPr>
      <w:r>
        <w:rPr>
          <w:b/>
          <w:bCs/>
        </w:rPr>
        <w:t xml:space="preserve">Job 1 — Build &amp; Push:</w:t>
      </w:r>
    </w:p>
    <w:p>
      <w:pPr>
        <w:pStyle w:val="ListParagraph"/>
        <w:numPr>
          <w:ilvl w:val="0"/>
          <w:numId w:val="1"/>
        </w:numPr>
        <w:spacing w:after="90" w:line="280"/>
      </w:pPr>
      <w:r>
        <w:t xml:space="preserve">Builds the Docker image using Buildx with GitHub Actions layer caching.</w:t>
      </w:r>
    </w:p>
    <w:p>
      <w:pPr>
        <w:pStyle w:val="ListParagraph"/>
        <w:numPr>
          <w:ilvl w:val="0"/>
          <w:numId w:val="1"/>
        </w:numPr>
        <w:spacing w:after="90" w:line="280"/>
      </w:pPr>
      <w:r>
        <w:t xml:space="preserve">Tags the image two ways: an immutable sha-&lt;short-sha&gt; tag for traceability back to the exact commit, and latest only when the branch is main.</w:t>
      </w:r>
    </w:p>
    <w:p>
      <w:pPr>
        <w:pStyle w:val="ListParagraph"/>
        <w:numPr>
          <w:ilvl w:val="0"/>
          <w:numId w:val="1"/>
        </w:numPr>
        <w:spacing w:after="90" w:line="280"/>
      </w:pPr>
      <w:r>
        <w:t xml:space="preserve">Pushes the tagged image to GHCR (ghcr.io/&lt;org&gt;/ocar-api).</w:t>
      </w:r>
    </w:p>
    <w:p>
      <w:pPr>
        <w:spacing w:after="160" w:line="300"/>
      </w:pPr>
      <w:r>
        <w:rPr>
          <w:b/>
          <w:bCs/>
        </w:rPr>
        <w:t xml:space="preserve">Job 2 — Deploy (depends on Job 1 succeeding):</w:t>
      </w:r>
    </w:p>
    <w:p>
      <w:pPr>
        <w:pStyle w:val="ListParagraph"/>
        <w:numPr>
          <w:ilvl w:val="0"/>
          <w:numId w:val="1"/>
        </w:numPr>
        <w:spacing w:after="90" w:line="280"/>
      </w:pPr>
      <w:r>
        <w:t xml:space="preserve">Connects to the VPS over SSH using a scoped deploy key stored in GitHub Secrets.</w:t>
      </w:r>
    </w:p>
    <w:p>
      <w:pPr>
        <w:pStyle w:val="ListParagraph"/>
        <w:numPr>
          <w:ilvl w:val="0"/>
          <w:numId w:val="1"/>
        </w:numPr>
        <w:spacing w:after="90" w:line="280"/>
      </w:pPr>
      <w:r>
        <w:t xml:space="preserve">Pulls the newly built, SHA-tagged image — not “latest” — so the exact artifact tested in Job 1 is the one that reaches production.</w:t>
      </w:r>
    </w:p>
    <w:p>
      <w:pPr>
        <w:pStyle w:val="ListParagraph"/>
        <w:numPr>
          <w:ilvl w:val="0"/>
          <w:numId w:val="1"/>
        </w:numPr>
        <w:spacing w:after="90" w:line="280"/>
      </w:pPr>
      <w:r>
        <w:t xml:space="preserve">Runs database migrations in a disposable, ad-hoc container against the new image before anything user-facing changes, gating the rest of the deploy on migrations succeeding.</w:t>
      </w:r>
    </w:p>
    <w:p>
      <w:pPr>
        <w:pStyle w:val="ListParagraph"/>
        <w:numPr>
          <w:ilvl w:val="0"/>
          <w:numId w:val="1"/>
        </w:numPr>
        <w:spacing w:after="90" w:line="280"/>
      </w:pPr>
      <w:r>
        <w:t xml:space="preserve">Only after migrations succeed does it cut the live API container over to the new image (docker compose up -d --no-deps api), while the reverse proxy keeps routing to whatever container answers on the API's port — no traffic is dropped mid-swap.</w:t>
      </w:r>
    </w:p>
    <w:p>
      <w:pPr>
        <w:pStyle w:val="ListParagraph"/>
        <w:numPr>
          <w:ilvl w:val="0"/>
          <w:numId w:val="1"/>
        </w:numPr>
        <w:spacing w:after="90" w:line="280"/>
      </w:pPr>
      <w:r>
        <w:t xml:space="preserve">Polls the new container's /health endpoint up to 8 times (5s apart) before declaring the deploy healthy.</w:t>
      </w:r>
    </w:p>
    <w:p>
      <w:pPr>
        <w:pStyle w:val="ListParagraph"/>
        <w:numPr>
          <w:ilvl w:val="0"/>
          <w:numId w:val="1"/>
        </w:numPr>
        <w:spacing w:after="90" w:line="280"/>
      </w:pPr>
      <w:r>
        <w:t xml:space="preserve">If the health check never passes, it automatically re-points the running container back to the previous image tag (captured before the swap) and exits non-zero — an unattended, automatic rollback, not a manual one.</w:t>
      </w:r>
    </w:p>
    <w:p>
      <w:pPr>
        <w:pStyle w:val="ListParagraph"/>
        <w:numPr>
          <w:ilvl w:val="0"/>
          <w:numId w:val="1"/>
        </w:numPr>
        <w:spacing w:after="90" w:line="280"/>
      </w:pPr>
      <w:r>
        <w:t xml:space="preserve">Prunes dangling images afterward to keep the VPS disk from filling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F2F7FC" w:val="clear"/>
            <w:tcMar>
              <w:top w:type="dxa" w:w="160"/>
              <w:left w:type="dxa" w:w="200"/>
              <w:bottom w:type="dxa" w:w="160"/>
              <w:right w:type="dxa" w:w="200"/>
            </w:tcMar>
          </w:tcPr>
          <w:p>
            <w:pPr>
              <w:spacing w:after="80"/>
            </w:pPr>
            <w:r>
              <w:rPr>
                <w:b/>
                <w:bCs/>
                <w:color w:val="1F4E79"/>
              </w:rPr>
              <w:t xml:space="preserve">Why this matters</w:t>
            </w:r>
          </w:p>
          <w:p>
            <w:pPr>
              <w:spacing w:after="40"/>
            </w:pPr>
            <w:r>
              <w:rPr>
                <w:sz w:val="20"/>
                <w:szCs w:val="20"/>
              </w:rPr>
              <w:t xml:space="preserve">Every one of these steps — service-container integration tests, immutable SHA tagging, migration-gated cutover, automated health-check rollback — is called out explicitly in current published guidance as what separates a mature deployment pipeline from a naive one. Sources are listed in Section 7.</w:t>
            </w:r>
          </w:p>
        </w:tc>
      </w:tr>
    </w:tbl>
    <w:p>
      <w:pPr>
        <w:pStyle w:val="Heading1"/>
        <w:spacing w:after="160" w:before="360"/>
      </w:pPr>
      <w:r>
        <w:t xml:space="preserve">4. Why This Is the Standard Approach for This Stack</w:t>
      </w:r>
    </w:p>
    <w:p>
      <w:pPr>
        <w:spacing w:after="160" w:line="300"/>
      </w:pPr>
      <w:r>
        <w:t xml:space="preserve">The framing in the review meeting (“real production systems use Maven, WAR, Tomcat, and Jenkins”) treats one specific ecosystem's tooling as a universal law. It isn't. The actual universal standard — the one that predates and outlives any specific vendor toolchain — is the Twelve-Factor App methodology's build/release/run separation, formalized by Heroku's engineers and now the reference model cited across the industry:</w:t>
      </w:r>
    </w:p>
    <w:p>
      <w:pPr>
        <w:pStyle w:val="ListParagraph"/>
        <w:numPr>
          <w:ilvl w:val="0"/>
          <w:numId w:val="1"/>
        </w:numPr>
        <w:spacing w:after="90" w:line="280"/>
      </w:pPr>
      <w:r>
        <w:t xml:space="preserve">Build stage: source code + dependencies are compiled into an executable artifact.</w:t>
      </w:r>
    </w:p>
    <w:p>
      <w:pPr>
        <w:pStyle w:val="ListParagraph"/>
        <w:numPr>
          <w:ilvl w:val="0"/>
          <w:numId w:val="1"/>
        </w:numPr>
        <w:spacing w:after="90" w:line="280"/>
      </w:pPr>
      <w:r>
        <w:t xml:space="preserve">Release stage: that build artifact is combined with environment-specific config, producing something ready to run.</w:t>
      </w:r>
    </w:p>
    <w:p>
      <w:pPr>
        <w:pStyle w:val="ListParagraph"/>
        <w:numPr>
          <w:ilvl w:val="0"/>
          <w:numId w:val="1"/>
        </w:numPr>
        <w:spacing w:after="90" w:line="280"/>
      </w:pPr>
      <w:r>
        <w:t xml:space="preserve">Run stage: the release is executed in the target environment, with no code changes possible at runtime.</w:t>
      </w:r>
    </w:p>
    <w:p>
      <w:pPr>
        <w:spacing w:after="160" w:line="300"/>
      </w:pPr>
      <w:r>
        <w:t xml:space="preserve">Mapped onto this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50"/>
      </w:tblGrid>
      <w:tr>
        <w:tc>
          <w:tcPr>
            <w:tcW w:type="dxa" w:w="1800"/>
            <w:shd w:fill="1F4E79" w:val="clear"/>
            <w:tcMar>
              <w:top w:type="dxa" w:w="100"/>
              <w:left w:type="dxa" w:w="120"/>
              <w:bottom w:type="dxa" w:w="100"/>
              <w:right w:type="dxa" w:w="120"/>
            </w:tcMar>
          </w:tcPr>
          <w:p>
            <w:r>
              <w:rPr>
                <w:b/>
                <w:bCs/>
                <w:color w:val="FFFFFF"/>
                <w:sz w:val="20"/>
                <w:szCs w:val="20"/>
              </w:rPr>
              <w:t xml:space="preserve">Stage</w:t>
            </w:r>
          </w:p>
        </w:tc>
        <w:tc>
          <w:tcPr>
            <w:tcW w:type="dxa" w:w="3800"/>
            <w:shd w:fill="1F4E79" w:val="clear"/>
            <w:tcMar>
              <w:top w:type="dxa" w:w="100"/>
              <w:left w:type="dxa" w:w="120"/>
              <w:bottom w:type="dxa" w:w="100"/>
              <w:right w:type="dxa" w:w="120"/>
            </w:tcMar>
          </w:tcPr>
          <w:p>
            <w:r>
              <w:rPr>
                <w:b/>
                <w:bCs/>
                <w:color w:val="FFFFFF"/>
                <w:sz w:val="20"/>
                <w:szCs w:val="20"/>
              </w:rPr>
              <w:t xml:space="preserve">Java/Maven/Tomcat model</w:t>
            </w:r>
          </w:p>
        </w:tc>
        <w:tc>
          <w:tcPr>
            <w:tcW w:type="dxa" w:w="3750"/>
            <w:shd w:fill="1F4E79" w:val="clear"/>
            <w:tcMar>
              <w:top w:type="dxa" w:w="100"/>
              <w:left w:type="dxa" w:w="120"/>
              <w:bottom w:type="dxa" w:w="100"/>
              <w:right w:type="dxa" w:w="120"/>
            </w:tcMar>
          </w:tcPr>
          <w:p>
            <w:r>
              <w:rPr>
                <w:b/>
                <w:bCs/>
                <w:color w:val="FFFFFF"/>
                <w:sz w:val="20"/>
                <w:szCs w:val="20"/>
              </w:rPr>
              <w:t xml:space="preserve">This project's implementation</w:t>
            </w:r>
          </w:p>
        </w:tc>
      </w:tr>
      <w:tr>
        <w:tc>
          <w:tcPr>
            <w:tcW w:type="dxa" w:w="1800"/>
            <w:tcMar>
              <w:top w:type="dxa" w:w="100"/>
              <w:left w:type="dxa" w:w="120"/>
              <w:bottom w:type="dxa" w:w="100"/>
              <w:right w:type="dxa" w:w="120"/>
            </w:tcMar>
          </w:tcPr>
          <w:p>
            <w:r>
              <w:rPr>
                <w:b w:val="false"/>
                <w:bCs w:val="false"/>
                <w:color w:val="000000"/>
                <w:sz w:val="20"/>
                <w:szCs w:val="20"/>
              </w:rPr>
              <w:t xml:space="preserve">Build</w:t>
            </w:r>
          </w:p>
        </w:tc>
        <w:tc>
          <w:tcPr>
            <w:tcW w:type="dxa" w:w="3800"/>
            <w:tcMar>
              <w:top w:type="dxa" w:w="100"/>
              <w:left w:type="dxa" w:w="120"/>
              <w:bottom w:type="dxa" w:w="100"/>
              <w:right w:type="dxa" w:w="120"/>
            </w:tcMar>
          </w:tcPr>
          <w:p>
            <w:r>
              <w:rPr>
                <w:b w:val="false"/>
                <w:bCs w:val="false"/>
                <w:color w:val="000000"/>
                <w:sz w:val="20"/>
                <w:szCs w:val="20"/>
              </w:rPr>
              <w:t xml:space="preserve">javac via Maven → packaged as a .jar/.war</w:t>
            </w:r>
          </w:p>
        </w:tc>
        <w:tc>
          <w:tcPr>
            <w:tcW w:type="dxa" w:w="3750"/>
            <w:tcMar>
              <w:top w:type="dxa" w:w="100"/>
              <w:left w:type="dxa" w:w="120"/>
              <w:bottom w:type="dxa" w:w="100"/>
              <w:right w:type="dxa" w:w="120"/>
            </w:tcMar>
          </w:tcPr>
          <w:p>
            <w:r>
              <w:rPr>
                <w:b w:val="false"/>
                <w:bCs w:val="false"/>
                <w:color w:val="000000"/>
                <w:sz w:val="20"/>
                <w:szCs w:val="20"/>
              </w:rPr>
              <w:t xml:space="preserve">tsc via pnpm → compiled JS in dist/, packaged into a Docker image</w:t>
            </w:r>
          </w:p>
        </w:tc>
      </w:tr>
      <w:tr>
        <w:tc>
          <w:tcPr>
            <w:tcW w:type="dxa" w:w="1800"/>
            <w:tcMar>
              <w:top w:type="dxa" w:w="100"/>
              <w:left w:type="dxa" w:w="120"/>
              <w:bottom w:type="dxa" w:w="100"/>
              <w:right w:type="dxa" w:w="120"/>
            </w:tcMar>
          </w:tcPr>
          <w:p>
            <w:r>
              <w:rPr>
                <w:b w:val="false"/>
                <w:bCs w:val="false"/>
                <w:color w:val="000000"/>
                <w:sz w:val="20"/>
                <w:szCs w:val="20"/>
              </w:rPr>
              <w:t xml:space="preserve">Release</w:t>
            </w:r>
          </w:p>
        </w:tc>
        <w:tc>
          <w:tcPr>
            <w:tcW w:type="dxa" w:w="3800"/>
            <w:tcMar>
              <w:top w:type="dxa" w:w="100"/>
              <w:left w:type="dxa" w:w="120"/>
              <w:bottom w:type="dxa" w:w="100"/>
              <w:right w:type="dxa" w:w="120"/>
            </w:tcMar>
          </w:tcPr>
          <w:p>
            <w:r>
              <w:rPr>
                <w:b w:val="false"/>
                <w:bCs w:val="false"/>
                <w:color w:val="000000"/>
                <w:sz w:val="20"/>
                <w:szCs w:val="20"/>
              </w:rPr>
              <w:t xml:space="preserve">WAR deployed into a configured Tomcat instance</w:t>
            </w:r>
          </w:p>
        </w:tc>
        <w:tc>
          <w:tcPr>
            <w:tcW w:type="dxa" w:w="3750"/>
            <w:tcMar>
              <w:top w:type="dxa" w:w="100"/>
              <w:left w:type="dxa" w:w="120"/>
              <w:bottom w:type="dxa" w:w="100"/>
              <w:right w:type="dxa" w:w="120"/>
            </w:tcMar>
          </w:tcPr>
          <w:p>
            <w:r>
              <w:rPr>
                <w:b w:val="false"/>
                <w:bCs w:val="false"/>
                <w:color w:val="000000"/>
                <w:sz w:val="20"/>
                <w:szCs w:val="20"/>
              </w:rPr>
              <w:t xml:space="preserve">Immutable, SHA-tagged Docker image + .env.prod combined at deploy time</w:t>
            </w:r>
          </w:p>
        </w:tc>
      </w:tr>
      <w:tr>
        <w:tc>
          <w:tcPr>
            <w:tcW w:type="dxa" w:w="1800"/>
            <w:tcMar>
              <w:top w:type="dxa" w:w="100"/>
              <w:left w:type="dxa" w:w="120"/>
              <w:bottom w:type="dxa" w:w="100"/>
              <w:right w:type="dxa" w:w="120"/>
            </w:tcMar>
          </w:tcPr>
          <w:p>
            <w:r>
              <w:rPr>
                <w:b w:val="false"/>
                <w:bCs w:val="false"/>
                <w:color w:val="000000"/>
                <w:sz w:val="20"/>
                <w:szCs w:val="20"/>
              </w:rPr>
              <w:t xml:space="preserve">Run</w:t>
            </w:r>
          </w:p>
        </w:tc>
        <w:tc>
          <w:tcPr>
            <w:tcW w:type="dxa" w:w="3800"/>
            <w:tcMar>
              <w:top w:type="dxa" w:w="100"/>
              <w:left w:type="dxa" w:w="120"/>
              <w:bottom w:type="dxa" w:w="100"/>
              <w:right w:type="dxa" w:w="120"/>
            </w:tcMar>
          </w:tcPr>
          <w:p>
            <w:r>
              <w:rPr>
                <w:b w:val="false"/>
                <w:bCs w:val="false"/>
                <w:color w:val="000000"/>
                <w:sz w:val="20"/>
                <w:szCs w:val="20"/>
              </w:rPr>
              <w:t xml:space="preserve">Tomcat's servlet container executes the WAR</w:t>
            </w:r>
          </w:p>
        </w:tc>
        <w:tc>
          <w:tcPr>
            <w:tcW w:type="dxa" w:w="3750"/>
            <w:tcMar>
              <w:top w:type="dxa" w:w="100"/>
              <w:left w:type="dxa" w:w="120"/>
              <w:bottom w:type="dxa" w:w="100"/>
              <w:right w:type="dxa" w:w="120"/>
            </w:tcMar>
          </w:tcPr>
          <w:p>
            <w:r>
              <w:rPr>
                <w:b w:val="false"/>
                <w:bCs w:val="false"/>
                <w:color w:val="000000"/>
                <w:sz w:val="20"/>
                <w:szCs w:val="20"/>
              </w:rPr>
              <w:t xml:space="preserve">Node.js executes dist/server.js directly inside the container — no external application server required, because Node.js is not a servlet-based runtime</w:t>
            </w:r>
          </w:p>
        </w:tc>
      </w:tr>
    </w:tbl>
    <w:p>
      <w:pPr>
        <w:spacing w:after="160" w:line="300"/>
      </w:pPr>
      <w:r>
        <w:t xml:space="preserve">Docker-based deployment is the language-agnostic descendant of this same model — it packages runtime, dependencies, and application together into one portable artifact, which is why it is the default recommendation in current Node.js production guides, not a shortcut around “real” deployment.</w:t>
      </w:r>
    </w:p>
    <w:p>
      <w:pPr>
        <w:spacing w:after="160" w:line="300"/>
      </w:pPr>
      <w:r>
        <w:t xml:space="preserve">On the orchestrator question specifically: Jenkins is not a JVM-only tool, so it isn't wrong to bring up — but it also isn't the only accepted answer anymore. Current market data (JetBrains' State of Developer Ecosystem 2025 survey, cited in Section 7) puts GitHub Actions ahead of Jenkins in overall developer adoption (33% vs 28%), and GitHub's own Octoverse 2025 data puts Actions at roughly 85% of GitHub-hosted pipelines specifically. Jenkins remains dominant inside older Fortune 500 estates for reasons of legacy infrastructure and change-control policy — not because it is technically required for a system to count as “production-grade.”</w:t>
      </w:r>
    </w:p>
    <w:p>
      <w:pPr>
        <w:pStyle w:val="Heading1"/>
        <w:spacing w:after="160" w:before="360"/>
      </w:pPr>
      <w:r>
        <w:t xml:space="preserve">5. Direct Tool-for-Tool Mapping</w:t>
      </w:r>
    </w:p>
    <w:p>
      <w:pPr>
        <w:spacing w:after="160" w:line="300"/>
      </w:pPr>
      <w:r>
        <w:t xml:space="preserve">For a fast rebuttal to “why aren't you using Maven/WAR/Tomcat/Jenkins” — every one of those tools has a direct, functioning equivalent already in place: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50"/>
        <w:gridCol w:w="4000"/>
      </w:tblGrid>
      <w:tr>
        <w:tc>
          <w:tcPr>
            <w:tcW w:type="dxa" w:w="1900"/>
            <w:shd w:fill="1F4E79" w:val="clear"/>
            <w:tcMar>
              <w:top w:type="dxa" w:w="100"/>
              <w:left w:type="dxa" w:w="120"/>
              <w:bottom w:type="dxa" w:w="100"/>
              <w:right w:type="dxa" w:w="120"/>
            </w:tcMar>
          </w:tcPr>
          <w:p>
            <w:r>
              <w:rPr>
                <w:b/>
                <w:bCs/>
                <w:color w:val="FFFFFF"/>
                <w:sz w:val="20"/>
                <w:szCs w:val="20"/>
              </w:rPr>
              <w:t xml:space="preserve">JVM-ecosystem tool</w:t>
            </w:r>
          </w:p>
        </w:tc>
        <w:tc>
          <w:tcPr>
            <w:tcW w:type="dxa" w:w="3450"/>
            <w:shd w:fill="1F4E79" w:val="clear"/>
            <w:tcMar>
              <w:top w:type="dxa" w:w="100"/>
              <w:left w:type="dxa" w:w="120"/>
              <w:bottom w:type="dxa" w:w="100"/>
              <w:right w:type="dxa" w:w="120"/>
            </w:tcMar>
          </w:tcPr>
          <w:p>
            <w:r>
              <w:rPr>
                <w:b/>
                <w:bCs/>
                <w:color w:val="FFFFFF"/>
                <w:sz w:val="20"/>
                <w:szCs w:val="20"/>
              </w:rPr>
              <w:t xml:space="preserve">Purpose it serves</w:t>
            </w:r>
          </w:p>
        </w:tc>
        <w:tc>
          <w:tcPr>
            <w:tcW w:type="dxa" w:w="4000"/>
            <w:shd w:fill="1F4E79" w:val="clear"/>
            <w:tcMar>
              <w:top w:type="dxa" w:w="100"/>
              <w:left w:type="dxa" w:w="120"/>
              <w:bottom w:type="dxa" w:w="100"/>
              <w:right w:type="dxa" w:w="120"/>
            </w:tcMar>
          </w:tcPr>
          <w:p>
            <w:r>
              <w:rPr>
                <w:b/>
                <w:bCs/>
                <w:color w:val="FFFFFF"/>
                <w:sz w:val="20"/>
                <w:szCs w:val="20"/>
              </w:rPr>
              <w:t xml:space="preserve">Equivalent already in this repo</w:t>
            </w:r>
          </w:p>
        </w:tc>
      </w:tr>
      <w:tr>
        <w:tc>
          <w:tcPr>
            <w:tcW w:type="dxa" w:w="1900"/>
            <w:tcMar>
              <w:top w:type="dxa" w:w="100"/>
              <w:left w:type="dxa" w:w="120"/>
              <w:bottom w:type="dxa" w:w="100"/>
              <w:right w:type="dxa" w:w="120"/>
            </w:tcMar>
          </w:tcPr>
          <w:p>
            <w:r>
              <w:rPr>
                <w:b w:val="false"/>
                <w:bCs w:val="false"/>
                <w:color w:val="000000"/>
                <w:sz w:val="20"/>
                <w:szCs w:val="20"/>
              </w:rPr>
              <w:t xml:space="preserve">Maven</w:t>
            </w:r>
          </w:p>
        </w:tc>
        <w:tc>
          <w:tcPr>
            <w:tcW w:type="dxa" w:w="3450"/>
            <w:tcMar>
              <w:top w:type="dxa" w:w="100"/>
              <w:left w:type="dxa" w:w="120"/>
              <w:bottom w:type="dxa" w:w="100"/>
              <w:right w:type="dxa" w:w="120"/>
            </w:tcMar>
          </w:tcPr>
          <w:p>
            <w:r>
              <w:rPr>
                <w:b w:val="false"/>
                <w:bCs w:val="false"/>
                <w:color w:val="000000"/>
                <w:sz w:val="20"/>
                <w:szCs w:val="20"/>
              </w:rPr>
              <w:t xml:space="preserve">Dependency resolution + build lifecycle orchestration</w:t>
            </w:r>
          </w:p>
        </w:tc>
        <w:tc>
          <w:tcPr>
            <w:tcW w:type="dxa" w:w="4000"/>
            <w:tcMar>
              <w:top w:type="dxa" w:w="100"/>
              <w:left w:type="dxa" w:w="120"/>
              <w:bottom w:type="dxa" w:w="100"/>
              <w:right w:type="dxa" w:w="120"/>
            </w:tcMar>
          </w:tcPr>
          <w:p>
            <w:r>
              <w:rPr>
                <w:b w:val="false"/>
                <w:bCs w:val="false"/>
                <w:color w:val="000000"/>
                <w:sz w:val="20"/>
                <w:szCs w:val="20"/>
              </w:rPr>
              <w:t xml:space="preserve">pnpm (dependency resolution) + tsc (compilation) + Turborepo (task orchestration)</w:t>
            </w:r>
          </w:p>
        </w:tc>
      </w:tr>
      <w:tr>
        <w:tc>
          <w:tcPr>
            <w:tcW w:type="dxa" w:w="1900"/>
            <w:tcMar>
              <w:top w:type="dxa" w:w="100"/>
              <w:left w:type="dxa" w:w="120"/>
              <w:bottom w:type="dxa" w:w="100"/>
              <w:right w:type="dxa" w:w="120"/>
            </w:tcMar>
          </w:tcPr>
          <w:p>
            <w:r>
              <w:rPr>
                <w:b w:val="false"/>
                <w:bCs w:val="false"/>
                <w:color w:val="000000"/>
                <w:sz w:val="20"/>
                <w:szCs w:val="20"/>
              </w:rPr>
              <w:t xml:space="preserve">WAR file</w:t>
            </w:r>
          </w:p>
        </w:tc>
        <w:tc>
          <w:tcPr>
            <w:tcW w:type="dxa" w:w="3450"/>
            <w:tcMar>
              <w:top w:type="dxa" w:w="100"/>
              <w:left w:type="dxa" w:w="120"/>
              <w:bottom w:type="dxa" w:w="100"/>
              <w:right w:type="dxa" w:w="120"/>
            </w:tcMar>
          </w:tcPr>
          <w:p>
            <w:r>
              <w:rPr>
                <w:b w:val="false"/>
                <w:bCs w:val="false"/>
                <w:color w:val="000000"/>
                <w:sz w:val="20"/>
                <w:szCs w:val="20"/>
              </w:rPr>
              <w:t xml:space="preserve">Single portable, deployable artifact</w:t>
            </w:r>
          </w:p>
        </w:tc>
        <w:tc>
          <w:tcPr>
            <w:tcW w:type="dxa" w:w="4000"/>
            <w:tcMar>
              <w:top w:type="dxa" w:w="100"/>
              <w:left w:type="dxa" w:w="120"/>
              <w:bottom w:type="dxa" w:w="100"/>
              <w:right w:type="dxa" w:w="120"/>
            </w:tcMar>
          </w:tcPr>
          <w:p>
            <w:r>
              <w:rPr>
                <w:b w:val="false"/>
                <w:bCs w:val="false"/>
                <w:color w:val="000000"/>
                <w:sz w:val="20"/>
                <w:szCs w:val="20"/>
              </w:rPr>
              <w:t xml:space="preserve">Docker image (multi-stage build, tagged by git SHA, pushed to a registry)</w:t>
            </w:r>
          </w:p>
        </w:tc>
      </w:tr>
      <w:tr>
        <w:tc>
          <w:tcPr>
            <w:tcW w:type="dxa" w:w="1900"/>
            <w:tcMar>
              <w:top w:type="dxa" w:w="100"/>
              <w:left w:type="dxa" w:w="120"/>
              <w:bottom w:type="dxa" w:w="100"/>
              <w:right w:type="dxa" w:w="120"/>
            </w:tcMar>
          </w:tcPr>
          <w:p>
            <w:r>
              <w:rPr>
                <w:b w:val="false"/>
                <w:bCs w:val="false"/>
                <w:color w:val="000000"/>
                <w:sz w:val="20"/>
                <w:szCs w:val="20"/>
              </w:rPr>
              <w:t xml:space="preserve">Tomcat</w:t>
            </w:r>
          </w:p>
        </w:tc>
        <w:tc>
          <w:tcPr>
            <w:tcW w:type="dxa" w:w="3450"/>
            <w:tcMar>
              <w:top w:type="dxa" w:w="100"/>
              <w:left w:type="dxa" w:w="120"/>
              <w:bottom w:type="dxa" w:w="100"/>
              <w:right w:type="dxa" w:w="120"/>
            </w:tcMar>
          </w:tcPr>
          <w:p>
            <w:r>
              <w:rPr>
                <w:b w:val="false"/>
                <w:bCs w:val="false"/>
                <w:color w:val="000000"/>
                <w:sz w:val="20"/>
                <w:szCs w:val="20"/>
              </w:rPr>
              <w:t xml:space="preserve">Servlet container that executes the WAR at runtime</w:t>
            </w:r>
          </w:p>
        </w:tc>
        <w:tc>
          <w:tcPr>
            <w:tcW w:type="dxa" w:w="4000"/>
            <w:tcMar>
              <w:top w:type="dxa" w:w="100"/>
              <w:left w:type="dxa" w:w="120"/>
              <w:bottom w:type="dxa" w:w="100"/>
              <w:right w:type="dxa" w:w="120"/>
            </w:tcMar>
          </w:tcPr>
          <w:p>
            <w:r>
              <w:rPr>
                <w:b w:val="false"/>
                <w:bCs w:val="false"/>
                <w:color w:val="000000"/>
                <w:sz w:val="20"/>
                <w:szCs w:val="20"/>
              </w:rPr>
              <w:t xml:space="preserve">Not needed — Node.js runs compiled JavaScript directly; the Docker container is the runtime boundary</w:t>
            </w:r>
          </w:p>
        </w:tc>
      </w:tr>
      <w:tr>
        <w:tc>
          <w:tcPr>
            <w:tcW w:type="dxa" w:w="1900"/>
            <w:tcMar>
              <w:top w:type="dxa" w:w="100"/>
              <w:left w:type="dxa" w:w="120"/>
              <w:bottom w:type="dxa" w:w="100"/>
              <w:right w:type="dxa" w:w="120"/>
            </w:tcMar>
          </w:tcPr>
          <w:p>
            <w:r>
              <w:rPr>
                <w:b w:val="false"/>
                <w:bCs w:val="false"/>
                <w:color w:val="000000"/>
                <w:sz w:val="20"/>
                <w:szCs w:val="20"/>
              </w:rPr>
              <w:t xml:space="preserve">Jenkins</w:t>
            </w:r>
          </w:p>
        </w:tc>
        <w:tc>
          <w:tcPr>
            <w:tcW w:type="dxa" w:w="3450"/>
            <w:tcMar>
              <w:top w:type="dxa" w:w="100"/>
              <w:left w:type="dxa" w:w="120"/>
              <w:bottom w:type="dxa" w:w="100"/>
              <w:right w:type="dxa" w:w="120"/>
            </w:tcMar>
          </w:tcPr>
          <w:p>
            <w:r>
              <w:rPr>
                <w:b w:val="false"/>
                <w:bCs w:val="false"/>
                <w:color w:val="000000"/>
                <w:sz w:val="20"/>
                <w:szCs w:val="20"/>
              </w:rPr>
              <w:t xml:space="preserve">CI/CD orchestration: build, test, deploy automation</w:t>
            </w:r>
          </w:p>
        </w:tc>
        <w:tc>
          <w:tcPr>
            <w:tcW w:type="dxa" w:w="4000"/>
            <w:tcMar>
              <w:top w:type="dxa" w:w="100"/>
              <w:left w:type="dxa" w:w="120"/>
              <w:bottom w:type="dxa" w:w="100"/>
              <w:right w:type="dxa" w:w="120"/>
            </w:tcMar>
          </w:tcPr>
          <w:p>
            <w:r>
              <w:rPr>
                <w:b w:val="false"/>
                <w:bCs w:val="false"/>
                <w:color w:val="000000"/>
                <w:sz w:val="20"/>
                <w:szCs w:val="20"/>
              </w:rPr>
              <w:t xml:space="preserve">GitHub Actions (ci.yml + deploy-api.yml) — now ahead of Jenkins in overall developer adoption per 2025/2026 survey data</w:t>
            </w:r>
          </w:p>
        </w:tc>
      </w:tr>
      <w:tr>
        <w:tc>
          <w:tcPr>
            <w:tcW w:type="dxa" w:w="1900"/>
            <w:tcMar>
              <w:top w:type="dxa" w:w="100"/>
              <w:left w:type="dxa" w:w="120"/>
              <w:bottom w:type="dxa" w:w="100"/>
              <w:right w:type="dxa" w:w="120"/>
            </w:tcMar>
          </w:tcPr>
          <w:p>
            <w:r>
              <w:rPr>
                <w:b w:val="false"/>
                <w:bCs w:val="false"/>
                <w:color w:val="000000"/>
                <w:sz w:val="20"/>
                <w:szCs w:val="20"/>
              </w:rPr>
              <w:t xml:space="preserve">Artifactory / Nexus</w:t>
            </w:r>
          </w:p>
        </w:tc>
        <w:tc>
          <w:tcPr>
            <w:tcW w:type="dxa" w:w="3450"/>
            <w:tcMar>
              <w:top w:type="dxa" w:w="100"/>
              <w:left w:type="dxa" w:w="120"/>
              <w:bottom w:type="dxa" w:w="100"/>
              <w:right w:type="dxa" w:w="120"/>
            </w:tcMar>
          </w:tcPr>
          <w:p>
            <w:r>
              <w:rPr>
                <w:b w:val="false"/>
                <w:bCs w:val="false"/>
                <w:color w:val="000000"/>
                <w:sz w:val="20"/>
                <w:szCs w:val="20"/>
              </w:rPr>
              <w:t xml:space="preserve">Artifact/image storage and versioning</w:t>
            </w:r>
          </w:p>
        </w:tc>
        <w:tc>
          <w:tcPr>
            <w:tcW w:type="dxa" w:w="4000"/>
            <w:tcMar>
              <w:top w:type="dxa" w:w="100"/>
              <w:left w:type="dxa" w:w="120"/>
              <w:bottom w:type="dxa" w:w="100"/>
              <w:right w:type="dxa" w:w="120"/>
            </w:tcMar>
          </w:tcPr>
          <w:p>
            <w:r>
              <w:rPr>
                <w:b w:val="false"/>
                <w:bCs w:val="false"/>
                <w:color w:val="000000"/>
                <w:sz w:val="20"/>
                <w:szCs w:val="20"/>
              </w:rPr>
              <w:t xml:space="preserve">GitHub Container Registry (GHCR), immutable SHA + latest tagging</w:t>
            </w:r>
          </w:p>
        </w:tc>
      </w:tr>
    </w:tbl>
    <w:p>
      <w:pPr>
        <w:pStyle w:val="Heading1"/>
        <w:spacing w:after="160" w:before="360"/>
      </w:pPr>
      <w:r>
        <w:t xml:space="preserve">6. Security &amp; Reliability Measures Already in Place</w:t>
      </w:r>
    </w:p>
    <w:p>
      <w:pPr>
        <w:spacing w:after="160" w:line="300"/>
      </w:pPr>
      <w:r>
        <w:t xml:space="preserve">Checked directly against api/Dockerfile, docker-compose.prod.yml, and .dockerignore:</w:t>
      </w:r>
    </w:p>
    <w:p>
      <w:pPr>
        <w:pStyle w:val="ListParagraph"/>
        <w:numPr>
          <w:ilvl w:val="0"/>
          <w:numId w:val="1"/>
        </w:numPr>
        <w:spacing w:after="90" w:line="280"/>
      </w:pPr>
      <w:r>
        <w:rPr>
          <w:b/>
          <w:bCs/>
        </w:rPr>
        <w:t xml:space="preserve">Multi-stage build </w:t>
      </w:r>
      <w:r>
        <w:t xml:space="preserve"> — five named stages (base → deps → builder → prod-deps → runner); only compiled dist/ output and production-only node_modules reach the final image. Dev dependencies, TypeScript source, and build tools never ship.</w:t>
      </w:r>
    </w:p>
    <w:p>
      <w:pPr>
        <w:pStyle w:val="ListParagraph"/>
        <w:numPr>
          <w:ilvl w:val="0"/>
          <w:numId w:val="1"/>
        </w:numPr>
        <w:spacing w:after="90" w:line="280"/>
      </w:pPr>
      <w:r>
        <w:rPr>
          <w:b/>
          <w:bCs/>
        </w:rPr>
        <w:t xml:space="preserve">Non-root container user </w:t>
      </w:r>
      <w:r>
        <w:t xml:space="preserve"> — the final stage runs as USER node, not root, capping the blast radius of any container-level compromise, per OWASP's Docker Security Cheat Sheet.</w:t>
      </w:r>
    </w:p>
    <w:p>
      <w:pPr>
        <w:pStyle w:val="ListParagraph"/>
        <w:numPr>
          <w:ilvl w:val="0"/>
          <w:numId w:val="1"/>
        </w:numPr>
        <w:spacing w:after="90" w:line="280"/>
      </w:pPr>
      <w:r>
        <w:rPr>
          <w:b/>
          <w:bCs/>
        </w:rPr>
        <w:t xml:space="preserve">Minimal base image </w:t>
      </w:r>
      <w:r>
        <w:t xml:space="preserve"> — node:22-alpine, chosen specifically to minimize attack surface versus a full Debian/Ubuntu-based image.</w:t>
      </w:r>
    </w:p>
    <w:p>
      <w:pPr>
        <w:pStyle w:val="ListParagraph"/>
        <w:numPr>
          <w:ilvl w:val="0"/>
          <w:numId w:val="1"/>
        </w:numPr>
        <w:spacing w:after="90" w:line="280"/>
      </w:pPr>
      <w:r>
        <w:rPr>
          <w:b/>
          <w:bCs/>
        </w:rPr>
        <w:t xml:space="preserve">No secrets baked into the image </w:t>
      </w:r>
      <w:r>
        <w:t xml:space="preserve"> — .dockerignore explicitly excludes .env, .env.*, and .env.prod; runtime config is injected via --env-file at container start, never copied into a layer.</w:t>
      </w:r>
    </w:p>
    <w:p>
      <w:pPr>
        <w:pStyle w:val="ListParagraph"/>
        <w:numPr>
          <w:ilvl w:val="0"/>
          <w:numId w:val="1"/>
        </w:numPr>
        <w:spacing w:after="90" w:line="280"/>
      </w:pPr>
      <w:r>
        <w:rPr>
          <w:b/>
          <w:bCs/>
        </w:rPr>
        <w:t xml:space="preserve">Container-level health checks </w:t>
      </w:r>
      <w:r>
        <w:t xml:space="preserve"> — both the Dockerfile's HEALTHCHECK instruction and docker-compose.prod.yml's healthcheck block probe /health independently of the deploy script's own polling.</w:t>
      </w:r>
    </w:p>
    <w:p>
      <w:pPr>
        <w:pStyle w:val="ListParagraph"/>
        <w:numPr>
          <w:ilvl w:val="0"/>
          <w:numId w:val="1"/>
        </w:numPr>
        <w:spacing w:after="90" w:line="280"/>
      </w:pPr>
      <w:r>
        <w:rPr>
          <w:b/>
          <w:bCs/>
        </w:rPr>
        <w:t xml:space="preserve">Immutable, traceable image tags </w:t>
      </w:r>
      <w:r>
        <w:t xml:space="preserve"> — every deployed image is tagged with its exact git SHA, so any running container can be traced back to the precise commit that produced it — current registry-tagging guidance specifically warns against deploying only by ‘latest’ for this reason.</w:t>
      </w:r>
    </w:p>
    <w:p>
      <w:pPr>
        <w:pStyle w:val="ListParagraph"/>
        <w:numPr>
          <w:ilvl w:val="0"/>
          <w:numId w:val="1"/>
        </w:numPr>
        <w:spacing w:after="90" w:line="280"/>
      </w:pPr>
      <w:r>
        <w:rPr>
          <w:b/>
          <w:bCs/>
        </w:rPr>
        <w:t xml:space="preserve">Migration-gated, zero-downtime cutover with automatic rollback </w:t>
      </w:r>
      <w:r>
        <w:t xml:space="preserve"> — covered in Section 3.2; matches the health-check-gated rollback pattern described in current zero-downtime deployment guidance.</w:t>
      </w:r>
    </w:p>
    <w:p>
      <w:pPr>
        <w:pStyle w:val="ListParagraph"/>
        <w:numPr>
          <w:ilvl w:val="0"/>
          <w:numId w:val="1"/>
        </w:numPr>
        <w:spacing w:after="90" w:line="280"/>
      </w:pPr>
      <w:r>
        <w:rPr>
          <w:b/>
          <w:bCs/>
        </w:rPr>
        <w:t xml:space="preserve">Secrets never logged or hardcoded </w:t>
      </w:r>
      <w:r>
        <w:t xml:space="preserve"> — SSH keys, registry tokens, and DB URLs are stored as GitHub Actions Secrets and injected at runtime only.</w:t>
      </w:r>
    </w:p>
    <w:p>
      <w:pPr>
        <w:pStyle w:val="Heading1"/>
        <w:spacing w:after="160" w:before="360"/>
      </w:pPr>
      <w:r>
        <w:t xml:space="preserve">7. Known Gaps — Named Honestly, Not Hidden</w:t>
      </w:r>
    </w:p>
    <w:p>
      <w:pPr>
        <w:spacing w:after="160" w:line="300"/>
      </w:pPr>
      <w:r>
        <w:t xml:space="preserve">A credible audit states its own open items. These are the concrete hardening steps still outstanding, already tracked internally:</w:t>
      </w:r>
    </w:p>
    <w:p>
      <w:pPr>
        <w:pStyle w:val="ListParagraph"/>
        <w:numPr>
          <w:ilvl w:val="0"/>
          <w:numId w:val="1"/>
        </w:numPr>
        <w:spacing w:after="90" w:line="280"/>
      </w:pPr>
      <w:r>
        <w:rPr>
          <w:b/>
          <w:bCs/>
        </w:rPr>
        <w:t xml:space="preserve">No automated container vulnerability scanning yet. </w:t>
      </w:r>
      <w:r>
        <w:t xml:space="preserve">Trivy (open-source, no daemon required) or Docker Scout should run against the built image in CI before push, failing the build on fixable CRITICAL/HIGH CVEs. This is the single most common gap in pipelines at this maturity level and the most valuable next addition.</w:t>
      </w:r>
    </w:p>
    <w:p>
      <w:pPr>
        <w:pStyle w:val="ListParagraph"/>
        <w:numPr>
          <w:ilvl w:val="0"/>
          <w:numId w:val="1"/>
        </w:numPr>
        <w:spacing w:after="90" w:line="280"/>
      </w:pPr>
      <w:r>
        <w:rPr>
          <w:b/>
          <w:bCs/>
        </w:rPr>
        <w:t xml:space="preserve">Deploy is not yet hard-gated on CI success. </w:t>
      </w:r>
      <w:r>
        <w:t xml:space="preserve">ci.yml and deploy-api.yml both trigger independently off pushes to main; wiring deploy-api.yml to require ci.yml's success (via workflow_run or a combined workflow) closes a real, if narrow, window.</w:t>
      </w:r>
    </w:p>
    <w:p>
      <w:pPr>
        <w:pStyle w:val="ListParagraph"/>
        <w:numPr>
          <w:ilvl w:val="0"/>
          <w:numId w:val="1"/>
        </w:numPr>
        <w:spacing w:after="90" w:line="280"/>
      </w:pPr>
      <w:r>
        <w:rPr>
          <w:b/>
          <w:bCs/>
        </w:rPr>
        <w:t xml:space="preserve">No dedicated staging environment. </w:t>
      </w:r>
      <w:r>
        <w:t xml:space="preserve">Deploys currently go straight from merge to the production VPS. A low-cost staging target (a second small VPS, or a staging Docker Compose profile against a separate DB) would let changes be promoted through an environment rather than landing directly on production.</w:t>
      </w:r>
    </w:p>
    <w:p>
      <w:pPr>
        <w:pStyle w:val="ListParagraph"/>
        <w:numPr>
          <w:ilvl w:val="0"/>
          <w:numId w:val="1"/>
        </w:numPr>
        <w:spacing w:after="90" w:line="280"/>
      </w:pPr>
      <w:r>
        <w:rPr>
          <w:b/>
          <w:bCs/>
        </w:rPr>
        <w:t xml:space="preserve">No pre-commit/CI secret scanning </w:t>
      </w:r>
      <w:r>
        <w:t xml:space="preserve">(e.g. gitleaks or truffleHog) to catch an accidentally committed credential before it enters git history.</w:t>
      </w:r>
    </w:p>
    <w:p>
      <w:pPr>
        <w:pStyle w:val="ListParagraph"/>
        <w:numPr>
          <w:ilvl w:val="0"/>
          <w:numId w:val="1"/>
        </w:numPr>
        <w:spacing w:after="90" w:line="280"/>
      </w:pPr>
      <w:r>
        <w:rPr>
          <w:b/>
          <w:bCs/>
        </w:rPr>
        <w:t xml:space="preserve">Database migrations are forward-only by design </w:t>
      </w:r>
      <w:r>
        <w:t xml:space="preserve">(a deliberate, documented choice, not an oversight) — a bad migration must be fixed forward rather than rolled back, so a written incident runbook for that specific failure mode is worth having explicitly.</w:t>
      </w:r>
    </w:p>
    <w:p>
      <w:pPr>
        <w:spacing w:after="160" w:line="300"/>
      </w:pPr>
      <w:r>
        <w:t xml:space="preserve">None of these six items involve Maven, WAR files, Tomcat, or Jenkins — they are the same category of hardening any Docker/GitHub Actions pipeline needs, regardless of language, and none of them are addressed by switching to a JVM-style toolchain either.</w:t>
      </w:r>
    </w:p>
    <w:p>
      <w:pPr>
        <w:pStyle w:val="Heading1"/>
        <w:spacing w:after="160" w:before="360"/>
      </w:pPr>
      <w:r>
        <w:t xml:space="preserve">8. Conclusion</w:t>
      </w:r>
    </w:p>
    <w:p>
      <w:pPr>
        <w:spacing w:after="160" w:line="300"/>
      </w:pPr>
      <w:r>
        <w:t xml:space="preserve">The current pipeline already implements integration-tested builds, immutable versioned artifacts, zero-downtime migration-gated deploys, automatic rollback on failure, non-root minimal containers, and secrets kept out of both source control and built images — the actual substance of what “production-grade” is meant to describe, expressed in the tooling that is idiomatic for a Node.js/TypeScript codebase rather than a Java one. Maven, WAR, and Tomcat are not more rigorous than this pipeline; they are a different ecosystem's equivalent tools, and applying them here would mean introducing a Java runtime and build chain into a codebase that contains no Java. The open items in Section 7 are the legitimate next steps, and none of them point back toward the JVM toolchain that was suggested in review.</w:t>
      </w:r>
    </w:p>
    <w:p>
      <w:pPr>
        <w:pStyle w:val="Heading1"/>
        <w:spacing w:after="160" w:before="360"/>
      </w:pPr>
      <w:r>
        <w:t xml:space="preserve">9. Sources</w:t>
      </w:r>
    </w:p>
    <w:p>
      <w:pPr>
        <w:spacing w:after="160" w:line="300"/>
      </w:pPr>
      <w:hyperlink w:history="1" r:id="rIdyuh6mussuujkpz6dfazyw">
        <w:r>
          <w:rPr>
            <w:rStyle w:val="Hyperlink"/>
          </w:rPr>
          <w:t xml:space="preserve">Docker Multi-Stage Builds: The Complete Guide for 2026</w:t>
        </w:r>
      </w:hyperlink>
    </w:p>
    <w:p>
      <w:pPr>
        <w:spacing w:after="160" w:line="300"/>
      </w:pPr>
      <w:hyperlink w:history="1" r:id="rIdlghehsnl9ypafuondtkcc">
        <w:r>
          <w:rPr>
            <w:rStyle w:val="Hyperlink"/>
          </w:rPr>
          <w:t xml:space="preserve">Dockerizing a Node.js App in 2026: The Practical Guide — DEV Community</w:t>
        </w:r>
      </w:hyperlink>
    </w:p>
    <w:p>
      <w:pPr>
        <w:spacing w:after="160" w:line="300"/>
      </w:pPr>
      <w:hyperlink w:history="1" r:id="rIdckp2lju6vvieif81tb3dq">
        <w:r>
          <w:rPr>
            <w:rStyle w:val="Hyperlink"/>
          </w:rPr>
          <w:t xml:space="preserve">Jenkins vs GitHub Actions 2026: adoption and market-share data</w:t>
        </w:r>
      </w:hyperlink>
    </w:p>
    <w:p>
      <w:pPr>
        <w:spacing w:after="160" w:line="300"/>
      </w:pPr>
      <w:hyperlink w:history="1" r:id="rIdeckxaqub-qd6fu_syzn3x">
        <w:r>
          <w:rPr>
            <w:rStyle w:val="Hyperlink"/>
          </w:rPr>
          <w:t xml:space="preserve">The Twelve-Factor App — V. Build, release, run</w:t>
        </w:r>
      </w:hyperlink>
    </w:p>
    <w:p>
      <w:pPr>
        <w:spacing w:after="160" w:line="300"/>
      </w:pPr>
      <w:hyperlink w:history="1" r:id="rIdjqg2nqjxvmgn19wf64z95">
        <w:r>
          <w:rPr>
            <w:rStyle w:val="Hyperlink"/>
          </w:rPr>
          <w:t xml:space="preserve">OWASP Docker Security Cheat Sheet</w:t>
        </w:r>
      </w:hyperlink>
    </w:p>
    <w:p>
      <w:pPr>
        <w:spacing w:after="160" w:line="300"/>
      </w:pPr>
      <w:hyperlink w:history="1" r:id="rIdsmulqnhn1ccod7pguz5vl">
        <w:r>
          <w:rPr>
            <w:rStyle w:val="Hyperlink"/>
          </w:rPr>
          <w:t xml:space="preserve">Zero Downtime Deployment 2026: Strategies That Keep Your App Always Online</w:t>
        </w:r>
      </w:hyperlink>
    </w:p>
    <w:p>
      <w:pPr>
        <w:spacing w:after="160" w:line="300"/>
      </w:pPr>
      <w:hyperlink w:history="1" r:id="rIdprpfv-imbntker18qobyb">
        <w:r>
          <w:rPr>
            <w:rStyle w:val="Hyperlink"/>
          </w:rPr>
          <w:t xml:space="preserve">How to Configure Trivy in CI/CD</w:t>
        </w:r>
      </w:hyperlink>
    </w:p>
    <w:p>
      <w:pPr>
        <w:spacing w:after="160" w:line="300"/>
      </w:pPr>
      <w:hyperlink w:history="1" r:id="rIdnk35_08u851kuzvle51k1">
        <w:r>
          <w:rPr>
            <w:rStyle w:val="Hyperlink"/>
          </w:rPr>
          <w:t xml:space="preserve">Immutable Container Image Tags</w:t>
        </w:r>
      </w:hyperlink>
    </w:p>
    <w:p>
      <w:pPr>
        <w:spacing w:after="160" w:line="300"/>
      </w:pPr>
      <w:hyperlink w:history="1" r:id="rIdfoampezapezf5mz5orlzv">
        <w:r>
          <w:rPr>
            <w:rStyle w:val="Hyperlink"/>
          </w:rPr>
          <w:t xml:space="preserve">GHCR: Complete Guide to GitHub Container Registry (April 2026)</w:t>
        </w:r>
      </w:hyperlink>
    </w:p>
    <w:p>
      <w:pPr>
        <w:spacing w:after="160" w:line="300"/>
      </w:pPr>
      <w:r>
        <w:t xml:space="preserve"/>
      </w:r>
    </w:p>
    <w:p>
      <w:pPr>
        <w:spacing w:after="160" w:line="300"/>
      </w:pPr>
      <w:r>
        <w:rPr>
          <w:i/>
          <w:iCs/>
          <w:color w:val="595959"/>
          <w:sz w:val="18"/>
          <w:szCs w:val="18"/>
        </w:rPr>
        <w:t xml:space="preserve">In-repo sources cross-checked for this document: .github/workflows/ci.yml, .github/workflows/deploy-api.yml, api/Dockerfile, api/entrypoint.sh, docker-compose.prod.yml, .dockerignore.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h6mussuujkpz6dfazyw" Type="http://schemas.openxmlformats.org/officeDocument/2006/relationships/hyperlink" Target="https://devtoolbox.dedyn.io/blog/docker-multi-stage-builds-guide" TargetMode="External"/><Relationship Id="rIdlghehsnl9ypafuondtkcc" Type="http://schemas.openxmlformats.org/officeDocument/2006/relationships/hyperlink" Target="https://dev.to/armorbreak/dockerizing-a-nodejs-app-in-2026-the-practical-guide-mh4" TargetMode="External"/><Relationship Id="rIdckp2lju6vvieif81tb3dq" Type="http://schemas.openxmlformats.org/officeDocument/2006/relationships/hyperlink" Target="https://tech-insider.org/jenkins-vs-github-actions-2026/" TargetMode="External"/><Relationship Id="rIdeckxaqub-qd6fu_syzn3x" Type="http://schemas.openxmlformats.org/officeDocument/2006/relationships/hyperlink" Target="https://12factor.net/build-release-run" TargetMode="External"/><Relationship Id="rIdjqg2nqjxvmgn19wf64z95" Type="http://schemas.openxmlformats.org/officeDocument/2006/relationships/hyperlink" Target="https://cheatsheetseries.owasp.org/cheatsheets/Docker_Security_Cheat_Sheet.html" TargetMode="External"/><Relationship Id="rIdsmulqnhn1ccod7pguz5vl" Type="http://schemas.openxmlformats.org/officeDocument/2006/relationships/hyperlink" Target="https://rajeshrnair.com/blog/zero-downtime-deployment" TargetMode="External"/><Relationship Id="rIdprpfv-imbntker18qobyb" Type="http://schemas.openxmlformats.org/officeDocument/2006/relationships/hyperlink" Target="https://oneuptime.com/blog/post/2026-02-02-trivy-cicd/view" TargetMode="External"/><Relationship Id="rIdnk35_08u851kuzvle51k1" Type="http://schemas.openxmlformats.org/officeDocument/2006/relationships/hyperlink" Target="https://www.proactiveops.io/archive/immutable-container-image-tags/" TargetMode="External"/><Relationship Id="rIdfoampezapezf5mz5orlzv" Type="http://schemas.openxmlformats.org/officeDocument/2006/relationships/hyperlink" Target="https://www.gecko.security/blog/ghcr-github-container-registry-guide"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2026-08-05T17:56:13.021Z</dcterms:created>
  <dcterms:modified xsi:type="dcterms:W3CDTF">2026-08-05T17:56:13.022Z</dcterms:modified>
</cp:coreProperties>
</file>

<file path=docProps/custom.xml><?xml version="1.0" encoding="utf-8"?>
<Properties xmlns="http://schemas.openxmlformats.org/officeDocument/2006/custom-properties" xmlns:vt="http://schemas.openxmlformats.org/officeDocument/2006/docPropsVTypes"/>
</file>