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Terms of Use</w:t>
      </w:r>
    </w:p>
    <w:p>
      <w:pPr>
        <w:pStyle w:val="BodyText"/>
        <w:bidi w:val="0"/>
        <w:spacing w:before="0" w:after="360"/>
        <w:ind w:hanging="0" w:left="0" w:right="0"/>
        <w:jc w:val="left"/>
        <w:rPr>
          <w:color w:val="6A90AB"/>
          <w:sz w:val="20"/>
        </w:rPr>
      </w:pPr>
      <w:r>
        <w:rPr>
          <w:color w:val="6A90AB"/>
          <w:sz w:val="20"/>
        </w:rPr>
        <w:t>Last updated: September 2026.</w:t>
      </w:r>
    </w:p>
    <w:p>
      <w:pPr>
        <w:pStyle w:val="Heading2"/>
        <w:numPr>
          <w:ilvl w:val="0"/>
          <w:numId w:val="0"/>
        </w:numPr>
        <w:bidi w:val="0"/>
        <w:spacing w:before="420" w:after="120"/>
        <w:ind w:left="600"/>
        <w:jc w:val="left"/>
        <w:rPr/>
      </w:pPr>
      <w:r>
        <w:rPr/>
        <w:t>1. Acceptance of Terms</w:t>
      </w:r>
    </w:p>
    <w:p>
      <w:pPr>
        <w:pStyle w:val="BodyText"/>
        <w:bidi w:val="0"/>
        <w:spacing w:before="0" w:after="283"/>
        <w:jc w:val="left"/>
        <w:rPr/>
      </w:pPr>
      <w:r>
        <w:rPr/>
        <w:t>By creating an account on CardioAI Pro ("the Service"), you agree to be bound by these Terms of Use. If you are creating an account on behalf of an organization, you represent that you have authority to bind that organization to these terms.</w:t>
      </w:r>
    </w:p>
    <w:p>
      <w:pPr>
        <w:pStyle w:val="Heading2"/>
        <w:numPr>
          <w:ilvl w:val="0"/>
          <w:numId w:val="0"/>
        </w:numPr>
        <w:bidi w:val="0"/>
        <w:spacing w:before="420" w:after="120"/>
        <w:ind w:left="600"/>
        <w:jc w:val="left"/>
        <w:rPr/>
      </w:pPr>
      <w:r>
        <w:rPr/>
        <w:t>2. Description of Service</w:t>
      </w:r>
    </w:p>
    <w:p>
      <w:pPr>
        <w:pStyle w:val="BodyText"/>
        <w:bidi w:val="0"/>
        <w:spacing w:before="0" w:after="283"/>
        <w:jc w:val="left"/>
        <w:rPr/>
      </w:pPr>
      <w:r>
        <w:rPr/>
        <w:t>CardioAI Pro is a multi-agent clinical decision-support platform providing cardiovascular risk assessment, care coordination, and payer analytics tools across three interfaces: a clinical engine and dashboard for health systems, a payer portal for population health management, and a due-diligence data room for investors.</w:t>
      </w:r>
    </w:p>
    <w:p>
      <w:pPr>
        <w:pStyle w:val="Heading2"/>
        <w:numPr>
          <w:ilvl w:val="0"/>
          <w:numId w:val="0"/>
        </w:numPr>
        <w:bidi w:val="0"/>
        <w:spacing w:before="420" w:after="120"/>
        <w:ind w:left="600"/>
        <w:jc w:val="left"/>
        <w:rPr/>
      </w:pPr>
      <w:r>
        <w:rPr/>
        <w:t>3. Not a Substitute for Clinical Judgment</w:t>
      </w:r>
    </w:p>
    <w:p>
      <w:pPr>
        <w:pStyle w:val="BodyText"/>
        <w:bidi w:val="0"/>
        <w:spacing w:before="0" w:after="283"/>
        <w:jc w:val="left"/>
        <w:rPr/>
      </w:pPr>
      <w:r>
        <w:rPr/>
        <w:t>The Service's risk scores, alerts, and automated recommendations are decision-support tools only. They do not constitute medical advice, diagnosis, or treatment, and are not a substitute for the independent clinical judgment of a qualified healthcare professional. The underlying model has not completed formal clinical validation; see the Product &amp; Technology section of the Data Room for its current status.</w:t>
      </w:r>
    </w:p>
    <w:p>
      <w:pPr>
        <w:pStyle w:val="Heading2"/>
        <w:numPr>
          <w:ilvl w:val="0"/>
          <w:numId w:val="0"/>
        </w:numPr>
        <w:bidi w:val="0"/>
        <w:spacing w:before="420" w:after="120"/>
        <w:ind w:left="600"/>
        <w:jc w:val="left"/>
        <w:rPr/>
      </w:pPr>
      <w:r>
        <w:rPr/>
        <w:t>4. Account Roles and Access</w:t>
      </w:r>
    </w:p>
    <w:p>
      <w:pPr>
        <w:pStyle w:val="BodyText"/>
        <w:bidi w:val="0"/>
        <w:spacing w:before="0" w:after="283"/>
        <w:jc w:val="left"/>
        <w:rPr/>
      </w:pPr>
      <w:r>
        <w:rPr/>
        <w:t>Accounts are scoped to an organization. The first person to register an organization becomes its super administrator and is responsible for approving or rejecting subsequent account requests from that organization, and for the accuracy of role assignments (clinician, payer analyst, admin) within it.</w:t>
      </w:r>
    </w:p>
    <w:p>
      <w:pPr>
        <w:pStyle w:val="Heading2"/>
        <w:numPr>
          <w:ilvl w:val="0"/>
          <w:numId w:val="0"/>
        </w:numPr>
        <w:bidi w:val="0"/>
        <w:spacing w:before="420" w:after="120"/>
        <w:ind w:left="600"/>
        <w:jc w:val="left"/>
        <w:rPr/>
      </w:pPr>
      <w:r>
        <w:rPr/>
        <w:t>5. Acceptable Use</w:t>
      </w:r>
    </w:p>
    <w:p>
      <w:pPr>
        <w:pStyle w:val="BodyText"/>
        <w:bidi w:val="0"/>
        <w:spacing w:before="0" w:after="283"/>
        <w:jc w:val="left"/>
        <w:rPr/>
      </w:pPr>
      <w:r>
        <w:rPr/>
        <w:t>You agree not to: (a) upload data you are not authorized to upload; (b) attempt to access data or accounts outside your assigned role; (c) use the Service to store or process real patient health information unless your organization has executed a valid Business Associate Agreement with us and the underlying infrastructure requirements described in that agreement are met; (d) reverse engineer, scrape, or attempt to bypass access controls.</w:t>
      </w:r>
    </w:p>
    <w:p>
      <w:pPr>
        <w:pStyle w:val="Heading2"/>
        <w:numPr>
          <w:ilvl w:val="0"/>
          <w:numId w:val="0"/>
        </w:numPr>
        <w:bidi w:val="0"/>
        <w:spacing w:before="420" w:after="120"/>
        <w:ind w:left="600"/>
        <w:jc w:val="left"/>
        <w:rPr/>
      </w:pPr>
      <w:r>
        <w:rPr/>
        <w:t>6. Data Ownership</w:t>
      </w:r>
    </w:p>
    <w:p>
      <w:pPr>
        <w:pStyle w:val="BodyText"/>
        <w:bidi w:val="0"/>
        <w:spacing w:before="0" w:after="283"/>
        <w:jc w:val="left"/>
        <w:rPr/>
      </w:pPr>
      <w:r>
        <w:rPr/>
        <w:t>Your organization retains ownership of data it uploads or generates through the Service. We do not claim ownership of clinical, financial, or business data you submit.</w:t>
      </w:r>
    </w:p>
    <w:p>
      <w:pPr>
        <w:pStyle w:val="Heading2"/>
        <w:numPr>
          <w:ilvl w:val="0"/>
          <w:numId w:val="0"/>
        </w:numPr>
        <w:bidi w:val="0"/>
        <w:spacing w:before="420" w:after="120"/>
        <w:ind w:left="600"/>
        <w:jc w:val="left"/>
        <w:rPr/>
      </w:pPr>
      <w:r>
        <w:rPr/>
        <w:t>7. Service Availability</w:t>
      </w:r>
    </w:p>
    <w:p>
      <w:pPr>
        <w:pStyle w:val="BodyText"/>
        <w:bidi w:val="0"/>
        <w:spacing w:before="0" w:after="283"/>
        <w:jc w:val="left"/>
        <w:rPr/>
      </w:pPr>
      <w:r>
        <w:rPr/>
        <w:t>The Service is provided on an "as-is" basis during this development phase. We do not currently guarantee uptime, and some underlying storage (as disclosed in-product) may not persist across deployments unless the relevant persistent-storage configuration described in the product documentation has been completed.</w:t>
      </w:r>
    </w:p>
    <w:p>
      <w:pPr>
        <w:pStyle w:val="Heading2"/>
        <w:numPr>
          <w:ilvl w:val="0"/>
          <w:numId w:val="0"/>
        </w:numPr>
        <w:bidi w:val="0"/>
        <w:spacing w:before="420" w:after="120"/>
        <w:ind w:left="600"/>
        <w:jc w:val="left"/>
        <w:rPr/>
      </w:pPr>
      <w:r>
        <w:rPr/>
        <w:t>8. Limitation of Liability</w:t>
      </w:r>
    </w:p>
    <w:p>
      <w:pPr>
        <w:pStyle w:val="BodyText"/>
        <w:bidi w:val="0"/>
        <w:spacing w:before="0" w:after="283"/>
        <w:jc w:val="left"/>
        <w:rPr/>
      </w:pPr>
      <w:r>
        <w:rPr/>
        <w:t>To the maximum extent permitted by law, the Service and its operators are not liable for indirect, incidental, or consequential damages arising from use of the Service, including reliance on any risk score or recommendation produced by a model that has not completed clinical validation.</w:t>
      </w:r>
    </w:p>
    <w:p>
      <w:pPr>
        <w:pStyle w:val="Heading2"/>
        <w:numPr>
          <w:ilvl w:val="0"/>
          <w:numId w:val="0"/>
        </w:numPr>
        <w:bidi w:val="0"/>
        <w:spacing w:before="420" w:after="120"/>
        <w:ind w:left="600"/>
        <w:jc w:val="left"/>
        <w:rPr/>
      </w:pPr>
      <w:r>
        <w:rPr/>
        <w:t>9. Termination</w:t>
      </w:r>
    </w:p>
    <w:p>
      <w:pPr>
        <w:pStyle w:val="BodyText"/>
        <w:bidi w:val="0"/>
        <w:spacing w:before="0" w:after="283"/>
        <w:jc w:val="left"/>
        <w:rPr/>
      </w:pPr>
      <w:r>
        <w:rPr/>
        <w:t>We may suspend or terminate an account for violation of these terms. An organization's super administrator or admin may disable individual accounts within their organization at any time.</w:t>
      </w:r>
    </w:p>
    <w:p>
      <w:pPr>
        <w:pStyle w:val="Heading2"/>
        <w:numPr>
          <w:ilvl w:val="0"/>
          <w:numId w:val="0"/>
        </w:numPr>
        <w:bidi w:val="0"/>
        <w:spacing w:before="420" w:after="120"/>
        <w:ind w:left="600"/>
        <w:jc w:val="left"/>
        <w:rPr/>
      </w:pPr>
      <w:r>
        <w:rPr/>
        <w:t>10. Changes to These Terms</w:t>
      </w:r>
    </w:p>
    <w:p>
      <w:pPr>
        <w:pStyle w:val="BodyText"/>
        <w:bidi w:val="0"/>
        <w:spacing w:before="0" w:after="283"/>
        <w:jc w:val="left"/>
        <w:rPr/>
      </w:pPr>
      <w:r>
        <w:rPr/>
        <w:t>We may update these Terms of Use. Material changes will be reflected here with an updated "Last updated" date.</w:t>
      </w:r>
    </w:p>
    <w:p>
      <w:pPr>
        <w:pStyle w:val="Heading2"/>
        <w:numPr>
          <w:ilvl w:val="0"/>
          <w:numId w:val="0"/>
        </w:numPr>
        <w:bidi w:val="0"/>
        <w:spacing w:before="420" w:after="120"/>
        <w:ind w:left="600"/>
        <w:jc w:val="left"/>
        <w:rPr/>
      </w:pPr>
      <w:r>
        <w:rPr/>
        <w:t>11. Contact</w:t>
      </w:r>
    </w:p>
    <w:p>
      <w:pPr>
        <w:pStyle w:val="BodyText"/>
        <w:bidi w:val="0"/>
        <w:spacing w:before="0" w:after="283"/>
        <w:jc w:val="left"/>
        <w:rPr/>
      </w:pPr>
      <w:r>
        <w:rPr/>
        <w:t>Questions about these terms: invest@cardioailive.com</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altName w:val="sans-serif"/>
    <w:charset w:val="00"/>
    <w:family w:val="auto"/>
    <w:pitch w:val="default"/>
  </w:font>
  <w:font w:name="Noto Sans">
    <w:charset w:val="00"/>
    <w:family w:val="auto"/>
    <w:pitch w:val="variable"/>
  </w:font>
  <w:font w:name="Liberation Sans">
    <w:altName w:val="Arial"/>
    <w:charset w:val="00"/>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84" w:before="600" w:after="600"/>
      <w:ind w:left="600" w:right="600"/>
    </w:pPr>
    <w:rPr>
      <w:rFonts w:ascii="Arial;sans-serif" w:hAnsi="Arial;sans-serif" w:eastAsia="Arial;sans-serif" w:cs="Arial;sans-serif"/>
      <w:color w:val="0A2140"/>
      <w:sz w:val="24"/>
      <w:szCs w:val="24"/>
      <w:lang w:val="en-US" w:eastAsia="zh-CN" w:bidi="hi-IN"/>
    </w:rPr>
  </w:style>
  <w:style w:type="paragraph" w:styleId="Heading1">
    <w:name w:val="Heading 1"/>
    <w:basedOn w:val="Heading"/>
    <w:next w:val="BodyText"/>
    <w:qFormat/>
    <w:pPr/>
    <w:rPr>
      <w:rFonts w:ascii="Noto Sans" w:hAnsi="Noto Sans"/>
      <w:b/>
      <w:bCs/>
      <w:sz w:val="36"/>
      <w:szCs w:val="36"/>
    </w:rPr>
  </w:style>
  <w:style w:type="paragraph" w:styleId="Heading2">
    <w:name w:val="Heading 2"/>
    <w:basedOn w:val="Heading"/>
    <w:next w:val="BodyText"/>
    <w:qFormat/>
    <w:pPr>
      <w:numPr>
        <w:ilvl w:val="0"/>
        <w:numId w:val="0"/>
      </w:numPr>
      <w:spacing w:before="420" w:after="120"/>
      <w:ind w:left="600"/>
      <w:outlineLvl w:val="1"/>
    </w:pPr>
    <w:rPr>
      <w:rFonts w:ascii="Liberation Serif" w:hAnsi="Liberation Serif" w:eastAsia="Noto Serif CJK SC" w:cs="FreeSans"/>
      <w:b/>
      <w:bCs/>
      <w:color w:val="1C7EC4"/>
      <w:sz w:val="26"/>
      <w:szCs w:val="2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472</Words>
  <Characters>2670</Characters>
  <CharactersWithSpaces>3118</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2026-09-28T17:57:19Z</dcterms:created>
  <dc:creator/>
  <dc:description/>
  <dc:language>en-US</dc:language>
  <cp:lastModifiedBy/>
  <cp:revision>1</cp:revision>
  <dc:subject/>
  <dc:title>CardioAI Pro — Terms of Use</dc:title>
</cp:coreProperties>
</file>

<file path=docProps/custom.xml><?xml version="1.0" encoding="utf-8"?>
<Properties xmlns="http://schemas.openxmlformats.org/officeDocument/2006/custom-properties" xmlns:vt="http://schemas.openxmlformats.org/officeDocument/2006/docPropsVTypes"/>
</file>