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0A1D8" w14:textId="77777777" w:rsidR="0003407C" w:rsidRDefault="0003407C" w:rsidP="0003407C">
      <w:r>
        <w:t xml:space="preserve">You are an expert Principal Software Architect and Lead AI Engineering Reviewer. You have been provided with seven foundational engineering documents for the CAutomation platform: the Project Client Contract, Project Engineering Contract, Pipeline Management SRS &amp; ATS, User &amp; Client Management SRS &amp; ATS, and the AI Engine Workflow Specification. </w:t>
      </w:r>
    </w:p>
    <w:p w14:paraId="2F7DA98C" w14:textId="77777777" w:rsidR="0003407C" w:rsidRDefault="0003407C" w:rsidP="0003407C"/>
    <w:p w14:paraId="02DE1DAE" w14:textId="77777777" w:rsidR="0003407C" w:rsidRDefault="0003407C" w:rsidP="0003407C">
      <w:r>
        <w:t>Your task is to ingest these specifications as a single integrated engineering contract and execute the next authoring iteration. Focus heavily on ensuring that an AI generation engine can execute these instructions deterministically without inventing scope, violating multi-tenant boundaries, or breaking runtime contracts.</w:t>
      </w:r>
    </w:p>
    <w:p w14:paraId="1E254A12" w14:textId="77777777" w:rsidR="0003407C" w:rsidRDefault="0003407C" w:rsidP="0003407C"/>
    <w:p w14:paraId="17974E50" w14:textId="77777777" w:rsidR="0003407C" w:rsidRDefault="0003407C" w:rsidP="0003407C">
      <w:r>
        <w:t>Analyze the review board's findings below and update the master specifications accordingly.</w:t>
      </w:r>
    </w:p>
    <w:p w14:paraId="22A41F44" w14:textId="77777777" w:rsidR="0003407C" w:rsidRDefault="0003407C" w:rsidP="0003407C"/>
    <w:p w14:paraId="0D504321" w14:textId="77777777" w:rsidR="0003407C" w:rsidRDefault="0003407C" w:rsidP="0003407C">
      <w:r>
        <w:t>---</w:t>
      </w:r>
    </w:p>
    <w:p w14:paraId="5B2C1125" w14:textId="77777777" w:rsidR="0003407C" w:rsidRDefault="0003407C" w:rsidP="0003407C"/>
    <w:p w14:paraId="449A8F35" w14:textId="77777777" w:rsidR="0003407C" w:rsidRDefault="0003407C" w:rsidP="0003407C">
      <w:r>
        <w:t>## 1. Executive Summary</w:t>
      </w:r>
    </w:p>
    <w:p w14:paraId="7874CB21" w14:textId="77777777" w:rsidR="0003407C" w:rsidRDefault="0003407C" w:rsidP="0003407C">
      <w:r>
        <w:t xml:space="preserve">The CAutomation project represents a highly sophisticated, contract-first paradigm designed to eliminate unconstrained AI code generation. By decomposing the software engineering lifecycle into seven distinct, sequential pipelines (Context Engineering, Planning, Project Management Publishing, Generation, Validation, Apply, and Verification), the architecture preserves provenance and treats uncertainty as a first-class state. </w:t>
      </w:r>
    </w:p>
    <w:p w14:paraId="33A199E4" w14:textId="77777777" w:rsidR="0003407C" w:rsidRDefault="0003407C" w:rsidP="0003407C"/>
    <w:p w14:paraId="59997EB1" w14:textId="77777777" w:rsidR="0003407C" w:rsidRDefault="0003407C" w:rsidP="0003407C">
      <w:r>
        <w:t>The reference implementation covers two primary modules: Pipeline Management (managing versioned execution graphs and reusable tasks) and User &amp; Client Management (enforcing multi-tenant isolation, user accounts, and memberships). The core technical stack is locked to Python, FastAPI, PostgreSQL, React, and TypeScript. The overarching objective is to determine if this baseline can be safely frozen or if subtle, critical engineering ambiguities remain that would force an AI Engine to make unauthorized design assumptions.</w:t>
      </w:r>
    </w:p>
    <w:p w14:paraId="709E3559" w14:textId="77777777" w:rsidR="0003407C" w:rsidRDefault="0003407C" w:rsidP="0003407C"/>
    <w:p w14:paraId="00718A80" w14:textId="77777777" w:rsidR="0003407C" w:rsidRDefault="0003407C" w:rsidP="0003407C">
      <w:r>
        <w:t>---</w:t>
      </w:r>
    </w:p>
    <w:p w14:paraId="1EDB0B05" w14:textId="77777777" w:rsidR="0003407C" w:rsidRDefault="0003407C" w:rsidP="0003407C"/>
    <w:p w14:paraId="54429356" w14:textId="77777777" w:rsidR="0003407C" w:rsidRDefault="0003407C" w:rsidP="0003407C">
      <w:r>
        <w:lastRenderedPageBreak/>
        <w:t>## 2. Overall Architecture Assessment</w:t>
      </w:r>
    </w:p>
    <w:p w14:paraId="191B2B64" w14:textId="77777777" w:rsidR="0003407C" w:rsidRDefault="0003407C" w:rsidP="0003407C">
      <w:r>
        <w:t xml:space="preserve">The architectural design is robust, structurally sound, and highly disciplined. The decoupling of global identities from tenant visibility, paired with the mandatory server-side Repository Injection Directive (`WHERE client_id = :active_client_id`), provides strong multi-tenant safety. </w:t>
      </w:r>
    </w:p>
    <w:p w14:paraId="425C4EBB" w14:textId="77777777" w:rsidR="0003407C" w:rsidRDefault="0003407C" w:rsidP="0003407C"/>
    <w:p w14:paraId="6A4526A3" w14:textId="77777777" w:rsidR="0003407C" w:rsidRDefault="0003407C" w:rsidP="0003407C">
      <w:r>
        <w:t>However, the baseline is not yet 100% decision-complete for automated generation. There is a structural tension between the stateless nature of FastAPI endpoints and the stateful management of long-running background tasks orchestrated via native `BackgroundTasks`. While the documents explicitly mandate that external task brokers (like Celery or Redis) are forbidden, they lack the low-level concurrency, scheduling, and node-restart resilience primitives necessary to make `BackgroundTasks` function reliably in a multi-tenant production environment without code invention.</w:t>
      </w:r>
    </w:p>
    <w:p w14:paraId="79E818B9" w14:textId="77777777" w:rsidR="0003407C" w:rsidRDefault="0003407C" w:rsidP="0003407C"/>
    <w:p w14:paraId="5809656B" w14:textId="77777777" w:rsidR="0003407C" w:rsidRDefault="0003407C" w:rsidP="0003407C">
      <w:r>
        <w:t>---</w:t>
      </w:r>
    </w:p>
    <w:p w14:paraId="7B84AF95" w14:textId="77777777" w:rsidR="0003407C" w:rsidRDefault="0003407C" w:rsidP="0003407C"/>
    <w:p w14:paraId="2C50CEAE" w14:textId="77777777" w:rsidR="0003407C" w:rsidRDefault="0003407C" w:rsidP="0003407C">
      <w:r>
        <w:t>## 3. Evaluation Matrix</w:t>
      </w:r>
    </w:p>
    <w:p w14:paraId="3315C440" w14:textId="77777777" w:rsidR="0003407C" w:rsidRDefault="0003407C" w:rsidP="0003407C"/>
    <w:p w14:paraId="65169953" w14:textId="77777777" w:rsidR="0003407C" w:rsidRDefault="0003407C" w:rsidP="0003407C">
      <w:r>
        <w:t>### Finding 1: Contextual Runtime Parameter Merging (Pipeline Management ATS Section 15 / Execution Rules)</w:t>
      </w:r>
    </w:p>
    <w:p w14:paraId="2F04E955" w14:textId="77777777" w:rsidR="0003407C" w:rsidRDefault="0003407C" w:rsidP="0003407C">
      <w:r>
        <w:t>* **Assessment:** AGREE</w:t>
      </w:r>
    </w:p>
    <w:p w14:paraId="6A783619" w14:textId="77777777" w:rsidR="0003407C" w:rsidRDefault="0003407C" w:rsidP="0003407C">
      <w:r>
        <w:t>* **Engineering Justification:** The requirement that `execution_parameters_json` must be shallow-merged into the baseline `pipeline_task.configuration_json` snapshot at execution time is explicitly specified. The rule dictates that runtime keys override base configuration keys and become immutable for the lifetime of that execution. This provides absolute clarity to the generation engine on how to construct the persistence layer and service-level merge logic.</w:t>
      </w:r>
    </w:p>
    <w:p w14:paraId="20C03D38" w14:textId="77777777" w:rsidR="0003407C" w:rsidRDefault="0003407C" w:rsidP="0003407C"/>
    <w:p w14:paraId="09F9428C" w14:textId="77777777" w:rsidR="0003407C" w:rsidRDefault="0003407C" w:rsidP="0003407C">
      <w:r>
        <w:t>### Finding 2: Background Task Failure and Rollback Contract (User &amp; Client Management ATS Section 11)</w:t>
      </w:r>
    </w:p>
    <w:p w14:paraId="3A7AA6FD" w14:textId="77777777" w:rsidR="0003407C" w:rsidRDefault="0003407C" w:rsidP="0003407C">
      <w:r>
        <w:t>* **Assessment:** PARTIALLY AGREE</w:t>
      </w:r>
    </w:p>
    <w:p w14:paraId="0E64FF3F" w14:textId="77777777" w:rsidR="0003407C" w:rsidRDefault="0003407C" w:rsidP="0003407C">
      <w:r>
        <w:t xml:space="preserve">* **Engineering Justification:** The specification correctly outlines that asynchronous loops must catch exceptions, roll back transactions, and write structured traces to the `administrative_report` table. However, because native FastAPI `BackgroundTasks` </w:t>
      </w:r>
      <w:r>
        <w:lastRenderedPageBreak/>
        <w:t>execute inside the same application process memory space, a hard crash, out-of-memory (OOM) event, or deployment restart will kill the task instantly before any exception block can run. The specification provides no guidance on how the AI engine should design recovery, state-reconciliation, or "stuck task" detection mechanisms for tasks left permanently in a `Running` or `Pending` state.</w:t>
      </w:r>
    </w:p>
    <w:p w14:paraId="53A0C45D" w14:textId="77777777" w:rsidR="0003407C" w:rsidRDefault="0003407C" w:rsidP="0003407C"/>
    <w:p w14:paraId="599A11A1" w14:textId="77777777" w:rsidR="0003407C" w:rsidRDefault="0003407C" w:rsidP="0003407C">
      <w:r>
        <w:t>### Finding 3: Tenant Isolation Fault Routing (User &amp; Client Management ATS Section 5 vs. Section 9)</w:t>
      </w:r>
    </w:p>
    <w:p w14:paraId="06A33245" w14:textId="77777777" w:rsidR="0003407C" w:rsidRDefault="0003407C" w:rsidP="0003407C">
      <w:r>
        <w:t>* **Assessment:** AGREE</w:t>
      </w:r>
    </w:p>
    <w:p w14:paraId="3DCC404E" w14:textId="77777777" w:rsidR="0003407C" w:rsidRDefault="0003407C" w:rsidP="0003407C">
      <w:r>
        <w:t>* **Engineering Justification:** The cross-document mandate for handling tenant mismatches is highly deterministic. Any cross-tenant anomaly must abort immediately, raise exception code `SRS-VAL-011`, emit an isolation-breach audit trail event to the immutable report ledger, and return a strictly validated `ValidationErrorResponse` Pydantic model with forbidden unknown fields. This leaves zero room for AI guessing.</w:t>
      </w:r>
    </w:p>
    <w:p w14:paraId="5FCBD5DD" w14:textId="77777777" w:rsidR="0003407C" w:rsidRDefault="0003407C" w:rsidP="0003407C"/>
    <w:p w14:paraId="29D85DD9" w14:textId="77777777" w:rsidR="0003407C" w:rsidRDefault="0003407C" w:rsidP="0003407C">
      <w:r>
        <w:t>### Finding 4: Project Scope Context Resolution for Collections (User &amp; Client Management ATS Section 5)</w:t>
      </w:r>
    </w:p>
    <w:p w14:paraId="6C950A26" w14:textId="77777777" w:rsidR="0003407C" w:rsidRDefault="0003407C" w:rsidP="0003407C">
      <w:r>
        <w:t>* **Assessment:** PARTIALLY AGREE</w:t>
      </w:r>
    </w:p>
    <w:p w14:paraId="2CB3361D" w14:textId="77777777" w:rsidR="0003407C" w:rsidRDefault="0003407C" w:rsidP="0003407C">
      <w:r>
        <w:t>* **Engineering Justification:** The text dictates that tenant context must be resolved *only* at the server-side controller layer from the validated session token and project-level context provider. It explicitly notes that explicit `client_id` route parameter values must be matched against the authenticated `active_client_id`. However, for routes that are inherently cross-tenant or platform-level (e.g., a Platform Owner browsing global users or pulling multi-tenant compliance metrics via `UserService` or `RoleService`), the exact mechanism by which the service layer bypasses the repository-level injection filter is left ambiguous.</w:t>
      </w:r>
    </w:p>
    <w:p w14:paraId="722FB5FF" w14:textId="77777777" w:rsidR="0003407C" w:rsidRDefault="0003407C" w:rsidP="0003407C"/>
    <w:p w14:paraId="2B65F212" w14:textId="77777777" w:rsidR="0003407C" w:rsidRDefault="0003407C" w:rsidP="0003407C">
      <w:r>
        <w:t>---</w:t>
      </w:r>
    </w:p>
    <w:p w14:paraId="01046EE4" w14:textId="77777777" w:rsidR="0003407C" w:rsidRDefault="0003407C" w:rsidP="0003407C"/>
    <w:p w14:paraId="221EC5D8" w14:textId="77777777" w:rsidR="0003407C" w:rsidRDefault="0003407C" w:rsidP="0003407C">
      <w:r>
        <w:t>## 4. Cross-Document Consistency Review</w:t>
      </w:r>
    </w:p>
    <w:p w14:paraId="1198BEF9" w14:textId="77777777" w:rsidR="0003407C" w:rsidRDefault="0003407C" w:rsidP="0003407C">
      <w:r>
        <w:t>An analysis of terminology and entity relationships across the seven documents reveals a high degree of uniformity, but uncovers two specific cross-document integration misalignments:</w:t>
      </w:r>
    </w:p>
    <w:p w14:paraId="2BE30AB9" w14:textId="77777777" w:rsidR="0003407C" w:rsidRDefault="0003407C" w:rsidP="0003407C">
      <w:r>
        <w:lastRenderedPageBreak/>
        <w:t>1.  **Lookup Status Strings:** The User &amp; Client Management SRS/ATS establishes the approved lookup values for `membership_status` as `Active, Suspended, Archived`. However, the Pipeline Management ATS seed data contract defines `PipelineTask Status` as `Active, Disabled, Archived`. The generation engine must be explicitly told whether these distinct lifecycle states are functionally parallel or if they drive different interception logic across the modules.</w:t>
      </w:r>
    </w:p>
    <w:p w14:paraId="401F1623" w14:textId="77777777" w:rsidR="0003407C" w:rsidRDefault="0003407C" w:rsidP="0003407C">
      <w:r>
        <w:t>2.  **Report Mapping Fields:** In the User &amp; Client Management module, the `administrative_report` table explicitly includes fields for `source_requirement_id` and `source_validation_id`. In the Pipeline Management module, the `execution_report` table lacks these specific traceability fields, relying instead on a generic `content_path` and `summary`. This creates an asymmetric reporting architecture that complicates unified frontend rendering in the shared shell.</w:t>
      </w:r>
    </w:p>
    <w:p w14:paraId="03A12462" w14:textId="77777777" w:rsidR="0003407C" w:rsidRDefault="0003407C" w:rsidP="0003407C"/>
    <w:p w14:paraId="57FD6F5C" w14:textId="77777777" w:rsidR="0003407C" w:rsidRDefault="0003407C" w:rsidP="0003407C">
      <w:r>
        <w:t>---</w:t>
      </w:r>
    </w:p>
    <w:p w14:paraId="30A5F942" w14:textId="77777777" w:rsidR="0003407C" w:rsidRDefault="0003407C" w:rsidP="0003407C"/>
    <w:p w14:paraId="6A5834D6" w14:textId="77777777" w:rsidR="0003407C" w:rsidRDefault="0003407C" w:rsidP="0003407C">
      <w:r>
        <w:t>## 5. AI Engine Workflow Review</w:t>
      </w:r>
    </w:p>
    <w:p w14:paraId="54EFEA1B" w14:textId="77777777" w:rsidR="0003407C" w:rsidRDefault="0003407C" w:rsidP="0003407C">
      <w:r>
        <w:t xml:space="preserve">The seven-pipeline sequence defined in Document 07 is highly logical and structurally sound. The separation between Pipeline 02 (Decomposition/Planning) and Pipeline 04 (Deterministic Generation) successfully prevents "prompt drift." </w:t>
      </w:r>
    </w:p>
    <w:p w14:paraId="12F4EB06" w14:textId="77777777" w:rsidR="0003407C" w:rsidRDefault="0003407C" w:rsidP="0003407C"/>
    <w:p w14:paraId="58E8F728" w14:textId="77777777" w:rsidR="0003407C" w:rsidRDefault="0003407C" w:rsidP="0003407C">
      <w:r>
        <w:t>The workflow is implementable, with one critical workflow gap: **Pipeline 03 to Pipeline 04 Transition State Verification.** Pipeline 03 publishes the tool-agnostic planning package to external targets (Jira, GitHub, Markdown) and emits an `external_identifier_map.json`. Pipeline 04 is mandated to generate implementation artifacts *story by story* based on this map. If a user story is modified or reordered inside the external project management system by a human actor after Pipeline 03 finishes, the workflow specification does not define a re-synchronization or state-lock protocol before Pipeline 04 consumes the backlog.</w:t>
      </w:r>
    </w:p>
    <w:p w14:paraId="7C5E9949" w14:textId="77777777" w:rsidR="0003407C" w:rsidRDefault="0003407C" w:rsidP="0003407C"/>
    <w:p w14:paraId="542B8AF7" w14:textId="77777777" w:rsidR="0003407C" w:rsidRDefault="0003407C" w:rsidP="0003407C">
      <w:r>
        <w:t>---</w:t>
      </w:r>
    </w:p>
    <w:p w14:paraId="257F12E7" w14:textId="77777777" w:rsidR="0003407C" w:rsidRDefault="0003407C" w:rsidP="0003407C"/>
    <w:p w14:paraId="1704F459" w14:textId="77777777" w:rsidR="0003407C" w:rsidRDefault="0003407C" w:rsidP="0003407C">
      <w:r>
        <w:t>## 6. AI Code Generation Readiness</w:t>
      </w:r>
    </w:p>
    <w:p w14:paraId="341EB84C" w14:textId="77777777" w:rsidR="0003407C" w:rsidRDefault="0003407C" w:rsidP="0003407C">
      <w:r>
        <w:t>**Can the AI Engine generate the complete end-to-end web application based solely on these documents without making unauthorized architectural assumptions?**</w:t>
      </w:r>
    </w:p>
    <w:p w14:paraId="19911DC5" w14:textId="77777777" w:rsidR="0003407C" w:rsidRDefault="0003407C" w:rsidP="0003407C"/>
    <w:p w14:paraId="6F2FC017" w14:textId="77777777" w:rsidR="0003407C" w:rsidRDefault="0003407C" w:rsidP="0003407C">
      <w:r>
        <w:t xml:space="preserve">The precise answer is **NO**. While the documents are exceptional for defining backend logic, schemas, constraints, and validation boundaries, they are incomplete regarding the **Frontend Component Lifecycle, Rendering Mechanics, and State Management**. </w:t>
      </w:r>
    </w:p>
    <w:p w14:paraId="15E93509" w14:textId="77777777" w:rsidR="0003407C" w:rsidRDefault="0003407C" w:rsidP="0003407C"/>
    <w:p w14:paraId="2EA4455B" w14:textId="77777777" w:rsidR="0003407C" w:rsidRDefault="0003407C" w:rsidP="0003407C">
      <w:r>
        <w:t>The Frontend Screen Contracts in both ATS documents list required capabilities (e.g., "Hierarchy Browser," "Client Membership Matrix") and data sources, but they provide no structural engineering rules for React. Specifically, the following are missing:</w:t>
      </w:r>
    </w:p>
    <w:p w14:paraId="6F05788A" w14:textId="77777777" w:rsidR="0003407C" w:rsidRDefault="0003407C" w:rsidP="0003407C">
      <w:r>
        <w:t>* How should the frontend manage the shared shell navigation state (e.g., global context switches for active `client_id` and `project_id`)?</w:t>
      </w:r>
    </w:p>
    <w:p w14:paraId="3FEE4716" w14:textId="77777777" w:rsidR="0003407C" w:rsidRDefault="0003407C" w:rsidP="0003407C">
      <w:r>
        <w:t>* What token storage mechanism should the frontend use to attach the validated session context to outgoing FastAPI requests?</w:t>
      </w:r>
    </w:p>
    <w:p w14:paraId="3329E1B2" w14:textId="77777777" w:rsidR="0003407C" w:rsidRDefault="0003407C" w:rsidP="0003407C">
      <w:r>
        <w:t>* Are forms expected to use uncontrolled components, or a standardized validation library matching Pydantic's data layout?</w:t>
      </w:r>
    </w:p>
    <w:p w14:paraId="68C4472C" w14:textId="77777777" w:rsidR="0003407C" w:rsidRDefault="0003407C" w:rsidP="0003407C"/>
    <w:p w14:paraId="4CEB5733" w14:textId="77777777" w:rsidR="0003407C" w:rsidRDefault="0003407C" w:rsidP="0003407C">
      <w:r>
        <w:t>Without these rules, an AI engine generating the React TypeScript codebase will be forced to invent arbitrary frontend architectures, state flows, and component hierarchies.</w:t>
      </w:r>
    </w:p>
    <w:p w14:paraId="7B7D0ECC" w14:textId="77777777" w:rsidR="0003407C" w:rsidRDefault="0003407C" w:rsidP="0003407C"/>
    <w:p w14:paraId="07ADAF0F" w14:textId="77777777" w:rsidR="0003407C" w:rsidRDefault="0003407C" w:rsidP="0003407C">
      <w:r>
        <w:t>---</w:t>
      </w:r>
    </w:p>
    <w:p w14:paraId="2D218B2C" w14:textId="77777777" w:rsidR="0003407C" w:rsidRDefault="0003407C" w:rsidP="0003407C"/>
    <w:p w14:paraId="7AE4DDB7" w14:textId="77777777" w:rsidR="0003407C" w:rsidRDefault="0003407C" w:rsidP="0003407C">
      <w:r>
        <w:t>## 7. Reviewer Gap Identification</w:t>
      </w:r>
    </w:p>
    <w:p w14:paraId="391AA14E" w14:textId="77777777" w:rsidR="0003407C" w:rsidRDefault="0003407C" w:rsidP="0003407C"/>
    <w:p w14:paraId="4DAAEF7F" w14:textId="77777777" w:rsidR="0003407C" w:rsidRDefault="0003407C" w:rsidP="0003407C">
      <w:r>
        <w:t>To achieve absolute determinism for the generation engine, the following precise architectural gaps must be addressed:</w:t>
      </w:r>
    </w:p>
    <w:p w14:paraId="31B2C3E3" w14:textId="77777777" w:rsidR="0003407C" w:rsidRDefault="0003407C" w:rsidP="0003407C"/>
    <w:p w14:paraId="3211B2C2" w14:textId="77777777" w:rsidR="0003407C" w:rsidRDefault="0003407C" w:rsidP="0003407C">
      <w:r>
        <w:t>* **Gap 1 (Asynchronous Resilience):** A state-reconciliation protocol must be added to the Asynchronous Execution Contracts to handle mid-process application crashes. This must specify how tasks in a perpetual `Running` state are discovered, terminated, and tracked upon node reboot without introducing external distributed state brokers.</w:t>
      </w:r>
    </w:p>
    <w:p w14:paraId="6C038767" w14:textId="77777777" w:rsidR="0003407C" w:rsidRDefault="0003407C" w:rsidP="0003407C">
      <w:r>
        <w:t xml:space="preserve">* **Gap 2 (Bypass Abstraction for Platform Roles):** Explicit technical rules must be added defining how the repository-level `WHERE client_id = :active_client_id` injection </w:t>
      </w:r>
      <w:r>
        <w:lastRenderedPageBreak/>
        <w:t>filter is programmatically bypassed when a request is executed by an authenticated user possessing explicit platform-level authority (`Platform Owner` or `System Administrator`).</w:t>
      </w:r>
    </w:p>
    <w:p w14:paraId="5E6E6CD5" w14:textId="77777777" w:rsidR="0003407C" w:rsidRDefault="0003407C" w:rsidP="0003407C">
      <w:r>
        <w:t>* **Gap 3 (Frontend State and Token Contract):** A formal frontend architectural contract must be defined inside the Project Engineering Contract specifying the state-management mechanism (e.g., React Context vs. Native State) used to propagate the active multi-tenant context across navigation elements, and how the session token is attached to backend API requests.</w:t>
      </w:r>
    </w:p>
    <w:p w14:paraId="4D520F4E" w14:textId="77777777" w:rsidR="0003407C" w:rsidRDefault="0003407C" w:rsidP="0003407C"/>
    <w:p w14:paraId="6021FAB3" w14:textId="77777777" w:rsidR="0003407C" w:rsidRDefault="0003407C" w:rsidP="0003407C">
      <w:r>
        <w:t>---</w:t>
      </w:r>
    </w:p>
    <w:p w14:paraId="129B9D4A" w14:textId="77777777" w:rsidR="0003407C" w:rsidRDefault="0003407C" w:rsidP="0003407C"/>
    <w:p w14:paraId="76EDE7D0" w14:textId="77777777" w:rsidR="0003407C" w:rsidRDefault="0003407C" w:rsidP="0003407C">
      <w:r>
        <w:t>## 8. Final Recommendation</w:t>
      </w:r>
    </w:p>
    <w:p w14:paraId="1FE2FECA" w14:textId="77777777" w:rsidR="0003407C" w:rsidRDefault="0003407C" w:rsidP="0003407C">
      <w:r>
        <w:t>**Action:** CONTINUE ANOTHER AUTHORING ITERATION.</w:t>
      </w:r>
    </w:p>
    <w:p w14:paraId="62555855" w14:textId="77777777" w:rsidR="0003407C" w:rsidRDefault="0003407C" w:rsidP="0003407C"/>
    <w:p w14:paraId="7F2AA39F" w14:textId="77777777" w:rsidR="0003407C" w:rsidRPr="008A5CD3" w:rsidRDefault="0003407C" w:rsidP="0003407C">
      <w:r>
        <w:t>*Reasoning:* The specifications are highly advanced, cohesive, and close to production-ready. Freezing immediately, however, would guarantee that the AI Engine introduces inconsistent architectures across the frontend UI layer and fails to handle native background task volatility securely. Execute one narrow iteration focused strictly on closing the frontend state/token contracts, platform bypass filters, and background task process crash recovery rules.</w:t>
      </w:r>
    </w:p>
    <w:p w14:paraId="5037E7E2" w14:textId="5197DCD4" w:rsidR="008D473D" w:rsidRPr="0007406F" w:rsidRDefault="008D473D" w:rsidP="0007406F"/>
    <w:sectPr w:rsidR="008D473D" w:rsidRPr="0007406F" w:rsidSect="00034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715F9"/>
    <w:multiLevelType w:val="multilevel"/>
    <w:tmpl w:val="5552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84C9D"/>
    <w:multiLevelType w:val="multilevel"/>
    <w:tmpl w:val="CD9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64CCE"/>
    <w:multiLevelType w:val="multilevel"/>
    <w:tmpl w:val="9C7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07C1A"/>
    <w:multiLevelType w:val="multilevel"/>
    <w:tmpl w:val="71C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E7910"/>
    <w:multiLevelType w:val="multilevel"/>
    <w:tmpl w:val="628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24EB5"/>
    <w:multiLevelType w:val="multilevel"/>
    <w:tmpl w:val="760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76E45"/>
    <w:multiLevelType w:val="multilevel"/>
    <w:tmpl w:val="4E72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827C3"/>
    <w:multiLevelType w:val="multilevel"/>
    <w:tmpl w:val="1A9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34605"/>
    <w:multiLevelType w:val="multilevel"/>
    <w:tmpl w:val="F6E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1191A"/>
    <w:multiLevelType w:val="multilevel"/>
    <w:tmpl w:val="6D68A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3F0561"/>
    <w:multiLevelType w:val="multilevel"/>
    <w:tmpl w:val="16D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56948">
    <w:abstractNumId w:val="2"/>
  </w:num>
  <w:num w:numId="2" w16cid:durableId="338656475">
    <w:abstractNumId w:val="0"/>
  </w:num>
  <w:num w:numId="3" w16cid:durableId="782042374">
    <w:abstractNumId w:val="1"/>
  </w:num>
  <w:num w:numId="4" w16cid:durableId="88744367">
    <w:abstractNumId w:val="7"/>
  </w:num>
  <w:num w:numId="5" w16cid:durableId="41634845">
    <w:abstractNumId w:val="10"/>
  </w:num>
  <w:num w:numId="6" w16cid:durableId="1593856930">
    <w:abstractNumId w:val="5"/>
  </w:num>
  <w:num w:numId="7" w16cid:durableId="546070983">
    <w:abstractNumId w:val="4"/>
  </w:num>
  <w:num w:numId="8" w16cid:durableId="1071391633">
    <w:abstractNumId w:val="6"/>
  </w:num>
  <w:num w:numId="9" w16cid:durableId="692346424">
    <w:abstractNumId w:val="3"/>
  </w:num>
  <w:num w:numId="10" w16cid:durableId="1028798780">
    <w:abstractNumId w:val="8"/>
  </w:num>
  <w:num w:numId="11" w16cid:durableId="7367879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D7"/>
    <w:rsid w:val="00031BA6"/>
    <w:rsid w:val="0003407C"/>
    <w:rsid w:val="0007406F"/>
    <w:rsid w:val="000E3C70"/>
    <w:rsid w:val="001F1290"/>
    <w:rsid w:val="007509E0"/>
    <w:rsid w:val="00776282"/>
    <w:rsid w:val="008A2A07"/>
    <w:rsid w:val="008A5CD3"/>
    <w:rsid w:val="008D473D"/>
    <w:rsid w:val="00C61D95"/>
    <w:rsid w:val="00C703D7"/>
    <w:rsid w:val="00D43D25"/>
    <w:rsid w:val="00E243FA"/>
    <w:rsid w:val="00FB336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5058"/>
  <w15:chartTrackingRefBased/>
  <w15:docId w15:val="{0AFF9BCC-D1AC-4407-AFA2-409840A5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07C"/>
  </w:style>
  <w:style w:type="paragraph" w:styleId="Heading1">
    <w:name w:val="heading 1"/>
    <w:basedOn w:val="Normal"/>
    <w:next w:val="Normal"/>
    <w:link w:val="Heading1Char"/>
    <w:uiPriority w:val="9"/>
    <w:qFormat/>
    <w:rsid w:val="00C7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3D7"/>
    <w:rPr>
      <w:rFonts w:eastAsiaTheme="majorEastAsia" w:cstheme="majorBidi"/>
      <w:color w:val="272727" w:themeColor="text1" w:themeTint="D8"/>
    </w:rPr>
  </w:style>
  <w:style w:type="paragraph" w:styleId="Title">
    <w:name w:val="Title"/>
    <w:basedOn w:val="Normal"/>
    <w:next w:val="Normal"/>
    <w:link w:val="TitleChar"/>
    <w:uiPriority w:val="10"/>
    <w:qFormat/>
    <w:rsid w:val="00C7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3D7"/>
    <w:pPr>
      <w:spacing w:before="160"/>
      <w:jc w:val="center"/>
    </w:pPr>
    <w:rPr>
      <w:i/>
      <w:iCs/>
      <w:color w:val="404040" w:themeColor="text1" w:themeTint="BF"/>
    </w:rPr>
  </w:style>
  <w:style w:type="character" w:customStyle="1" w:styleId="QuoteChar">
    <w:name w:val="Quote Char"/>
    <w:basedOn w:val="DefaultParagraphFont"/>
    <w:link w:val="Quote"/>
    <w:uiPriority w:val="29"/>
    <w:rsid w:val="00C703D7"/>
    <w:rPr>
      <w:i/>
      <w:iCs/>
      <w:color w:val="404040" w:themeColor="text1" w:themeTint="BF"/>
    </w:rPr>
  </w:style>
  <w:style w:type="paragraph" w:styleId="ListParagraph">
    <w:name w:val="List Paragraph"/>
    <w:basedOn w:val="Normal"/>
    <w:uiPriority w:val="34"/>
    <w:qFormat/>
    <w:rsid w:val="00C703D7"/>
    <w:pPr>
      <w:ind w:left="720"/>
      <w:contextualSpacing/>
    </w:pPr>
  </w:style>
  <w:style w:type="character" w:styleId="IntenseEmphasis">
    <w:name w:val="Intense Emphasis"/>
    <w:basedOn w:val="DefaultParagraphFont"/>
    <w:uiPriority w:val="21"/>
    <w:qFormat/>
    <w:rsid w:val="00C703D7"/>
    <w:rPr>
      <w:i/>
      <w:iCs/>
      <w:color w:val="0F4761" w:themeColor="accent1" w:themeShade="BF"/>
    </w:rPr>
  </w:style>
  <w:style w:type="paragraph" w:styleId="IntenseQuote">
    <w:name w:val="Intense Quote"/>
    <w:basedOn w:val="Normal"/>
    <w:next w:val="Normal"/>
    <w:link w:val="IntenseQuoteChar"/>
    <w:uiPriority w:val="30"/>
    <w:qFormat/>
    <w:rsid w:val="00C7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D7"/>
    <w:rPr>
      <w:i/>
      <w:iCs/>
      <w:color w:val="0F4761" w:themeColor="accent1" w:themeShade="BF"/>
    </w:rPr>
  </w:style>
  <w:style w:type="character" w:styleId="IntenseReference">
    <w:name w:val="Intense Reference"/>
    <w:basedOn w:val="DefaultParagraphFont"/>
    <w:uiPriority w:val="32"/>
    <w:qFormat/>
    <w:rsid w:val="00C70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1568</Words>
  <Characters>8938</Characters>
  <Application>Microsoft Office Word</Application>
  <DocSecurity>0</DocSecurity>
  <Lines>74</Lines>
  <Paragraphs>20</Paragraphs>
  <ScaleCrop>false</ScaleCrop>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 Khaledi</dc:creator>
  <cp:keywords/>
  <dc:description/>
  <cp:lastModifiedBy>Cardo Khaledi</cp:lastModifiedBy>
  <cp:revision>7</cp:revision>
  <dcterms:created xsi:type="dcterms:W3CDTF">2026-07-05T11:00:00Z</dcterms:created>
  <dcterms:modified xsi:type="dcterms:W3CDTF">2026-07-08T13:07:00Z</dcterms:modified>
</cp:coreProperties>
</file>