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7E7E2" w14:textId="43B489BD" w:rsidR="008D473D" w:rsidRDefault="00DD7F55" w:rsidP="004E2E87">
      <w:r w:rsidRPr="00DD7F55">
        <w:t>CAutomation Platform Architectural Review and Engineering Baseline</w:t>
      </w:r>
    </w:p>
    <w:p w14:paraId="4A6CDF19" w14:textId="77777777" w:rsidR="00DD7F55" w:rsidRPr="00DD7F55" w:rsidRDefault="00DD7F55" w:rsidP="00DD7F55">
      <w:pPr>
        <w:rPr>
          <w:vanish/>
          <w:lang w:val="en-SE"/>
        </w:rPr>
      </w:pPr>
      <w:r w:rsidRPr="00DD7F55">
        <w:rPr>
          <w:vanish/>
          <w:lang w:val="en-SE"/>
        </w:rPr>
        <w:t>Top of Form</w:t>
      </w:r>
    </w:p>
    <w:p w14:paraId="4DB7A536" w14:textId="77777777" w:rsidR="00DD7F55" w:rsidRPr="00DD7F55" w:rsidRDefault="00DD7F55" w:rsidP="00DD7F55">
      <w:pPr>
        <w:rPr>
          <w:lang w:val="en-SE"/>
        </w:rPr>
      </w:pPr>
      <w:r w:rsidRPr="00DD7F55">
        <w:rPr>
          <w:lang w:val="en-SE"/>
        </w:rPr>
        <w:t>Please act as the principal AI Engineering Agent to perform the next authoring iteration on the CAutomation platform specifications based on the following comprehensive architectural review.</w:t>
      </w:r>
    </w:p>
    <w:p w14:paraId="1949EE5F" w14:textId="77777777" w:rsidR="00DD7F55" w:rsidRPr="00DD7F55" w:rsidRDefault="00DD7F55" w:rsidP="00DD7F55">
      <w:pPr>
        <w:rPr>
          <w:lang w:val="en-SE"/>
        </w:rPr>
      </w:pPr>
      <w:r w:rsidRPr="00DD7F55">
        <w:rPr>
          <w:lang w:val="en-SE"/>
        </w:rPr>
        <w:t>1. Executive Summary</w:t>
      </w:r>
    </w:p>
    <w:p w14:paraId="444A7F9D" w14:textId="77777777" w:rsidR="00DD7F55" w:rsidRPr="00DD7F55" w:rsidRDefault="00DD7F55" w:rsidP="00DD7F55">
      <w:pPr>
        <w:rPr>
          <w:lang w:val="en-SE"/>
        </w:rPr>
      </w:pPr>
      <w:r w:rsidRPr="00DD7F55">
        <w:rPr>
          <w:lang w:val="en-SE"/>
        </w:rPr>
        <w:t>The seven uploaded documents represent a highly mature, deterministic engineering baseline for the CAutomation platform. The explicit separation of business logic within the Software Requirements Specifications (SRS) and technical contracts within the Architecture &amp; Technical Specifications (ATS) enforces clear AI-generation boundaries. The decision to treat AI not as a one-shot code generator, but as an engine orchestrating a structured seven-pipeline workflow, successfully establishes a verifiable and traceable engineering lifecycle.</w:t>
      </w:r>
    </w:p>
    <w:p w14:paraId="790E8059" w14:textId="77777777" w:rsidR="00DD7F55" w:rsidRPr="00DD7F55" w:rsidRDefault="00DD7F55" w:rsidP="00DD7F55">
      <w:pPr>
        <w:rPr>
          <w:lang w:val="en-SE"/>
        </w:rPr>
      </w:pPr>
      <w:r w:rsidRPr="00DD7F55">
        <w:rPr>
          <w:lang w:val="en-SE"/>
        </w:rPr>
        <w:t>2. Overall Architecture Assessment</w:t>
      </w:r>
    </w:p>
    <w:p w14:paraId="3C5EE020" w14:textId="77777777" w:rsidR="00DD7F55" w:rsidRPr="00DD7F55" w:rsidRDefault="00DD7F55" w:rsidP="00DD7F55">
      <w:pPr>
        <w:rPr>
          <w:lang w:val="en-SE"/>
        </w:rPr>
      </w:pPr>
      <w:r w:rsidRPr="00DD7F55">
        <w:rPr>
          <w:lang w:val="en-SE"/>
        </w:rPr>
        <w:t>The layered platform architecture relying on React TypeScript, Python FastAPI, PostgreSQL, and Pydantic provides a stable, industry-standard foundation. The design strictly enforces separation of concerns, ensuring that domain workflows, authorization policies, and tenant isolation are orchestrated at the service layer rather than leaking into controllers or raw SQL. The multi-tenant architecture is highly secure, relying on programmatic repository-level injection for absolute partition isolation. By mandating test-first generation, structured gap reporting, and strict approval gates, the architecture successfully bounds the AI Engine's operations to deterministic outputs.</w:t>
      </w:r>
    </w:p>
    <w:p w14:paraId="1EC906F7" w14:textId="77777777" w:rsidR="00DD7F55" w:rsidRPr="00DD7F55" w:rsidRDefault="00DD7F55" w:rsidP="00DD7F55">
      <w:pPr>
        <w:rPr>
          <w:lang w:val="en-SE"/>
        </w:rPr>
      </w:pPr>
      <w:r w:rsidRPr="00DD7F55">
        <w:rPr>
          <w:lang w:val="en-SE"/>
        </w:rPr>
        <w:t>3. Evaluation Matrix</w:t>
      </w:r>
    </w:p>
    <w:p w14:paraId="211CF551" w14:textId="77777777" w:rsidR="00DD7F55" w:rsidRPr="00DD7F55" w:rsidRDefault="00DD7F55" w:rsidP="00DD7F55">
      <w:pPr>
        <w:numPr>
          <w:ilvl w:val="0"/>
          <w:numId w:val="12"/>
        </w:numPr>
        <w:rPr>
          <w:lang w:val="en-SE"/>
        </w:rPr>
      </w:pPr>
      <w:r w:rsidRPr="00DD7F55">
        <w:rPr>
          <w:b/>
          <w:bCs/>
          <w:lang w:val="en-SE"/>
        </w:rPr>
        <w:t>Finding: Native FastAPI BackgroundTasks for execution orchestration.</w:t>
      </w:r>
      <w:r w:rsidRPr="00DD7F55">
        <w:rPr>
          <w:lang w:val="en-SE"/>
        </w:rPr>
        <w:t> </w:t>
      </w:r>
      <w:r w:rsidRPr="00DD7F55">
        <w:rPr>
          <w:b/>
          <w:bCs/>
          <w:lang w:val="en-SE"/>
        </w:rPr>
        <w:t>AGREE.</w:t>
      </w:r>
      <w:r w:rsidRPr="00DD7F55">
        <w:rPr>
          <w:lang w:val="en-SE"/>
        </w:rPr>
        <w:t> Constraining async operations to native FastAPI BackgroundTasks avoids the complexity of external message brokers like Celery or Redis, aligning with the reference project's constraints.</w:t>
      </w:r>
    </w:p>
    <w:p w14:paraId="6EFBF81E" w14:textId="77777777" w:rsidR="00DD7F55" w:rsidRPr="00DD7F55" w:rsidRDefault="00DD7F55" w:rsidP="00DD7F55">
      <w:pPr>
        <w:numPr>
          <w:ilvl w:val="0"/>
          <w:numId w:val="12"/>
        </w:numPr>
        <w:rPr>
          <w:lang w:val="en-SE"/>
        </w:rPr>
      </w:pPr>
      <w:r w:rsidRPr="00DD7F55">
        <w:rPr>
          <w:b/>
          <w:bCs/>
          <w:lang w:val="en-SE"/>
        </w:rPr>
        <w:t>Finding: Tenant isolation via strict repository-level injection.</w:t>
      </w:r>
      <w:r w:rsidRPr="00DD7F55">
        <w:rPr>
          <w:lang w:val="en-SE"/>
        </w:rPr>
        <w:t> </w:t>
      </w:r>
      <w:r w:rsidRPr="00DD7F55">
        <w:rPr>
          <w:b/>
          <w:bCs/>
          <w:lang w:val="en-SE"/>
        </w:rPr>
        <w:t>AGREE.</w:t>
      </w:r>
      <w:r w:rsidRPr="00DD7F55">
        <w:rPr>
          <w:lang w:val="en-SE"/>
        </w:rPr>
        <w:t> Mandating WHERE client_id = :active_client_id directly inside the underlying repository layer guarantees absolute multi-tenant partition isolation and prevents cross-tenant leakage at the lowest level.</w:t>
      </w:r>
    </w:p>
    <w:p w14:paraId="536A92FB" w14:textId="77777777" w:rsidR="00DD7F55" w:rsidRPr="00DD7F55" w:rsidRDefault="00DD7F55" w:rsidP="00DD7F55">
      <w:pPr>
        <w:numPr>
          <w:ilvl w:val="0"/>
          <w:numId w:val="12"/>
        </w:numPr>
        <w:rPr>
          <w:lang w:val="en-SE"/>
        </w:rPr>
      </w:pPr>
      <w:r w:rsidRPr="00DD7F55">
        <w:rPr>
          <w:b/>
          <w:bCs/>
          <w:lang w:val="en-SE"/>
        </w:rPr>
        <w:t>Finding: Immutable Planning Freeze / Generation Baseline.</w:t>
      </w:r>
      <w:r w:rsidRPr="00DD7F55">
        <w:rPr>
          <w:lang w:val="en-SE"/>
        </w:rPr>
        <w:t> </w:t>
      </w:r>
      <w:r w:rsidRPr="00DD7F55">
        <w:rPr>
          <w:b/>
          <w:bCs/>
          <w:lang w:val="en-SE"/>
        </w:rPr>
        <w:t>AGREE.</w:t>
      </w:r>
      <w:r w:rsidRPr="00DD7F55">
        <w:rPr>
          <w:lang w:val="en-SE"/>
        </w:rPr>
        <w:t> Forcing Pipeline 03 to create an immutable Generation Baseline prevents Pipeline 04 from chasing mutable external project-management backlog states, ensuring generation is strictly bounded and repeatable.</w:t>
      </w:r>
    </w:p>
    <w:p w14:paraId="3A95793B" w14:textId="77777777" w:rsidR="00DD7F55" w:rsidRPr="00DD7F55" w:rsidRDefault="00DD7F55" w:rsidP="00DD7F55">
      <w:pPr>
        <w:numPr>
          <w:ilvl w:val="0"/>
          <w:numId w:val="12"/>
        </w:numPr>
        <w:rPr>
          <w:lang w:val="en-SE"/>
        </w:rPr>
      </w:pPr>
      <w:r w:rsidRPr="00DD7F55">
        <w:rPr>
          <w:b/>
          <w:bCs/>
          <w:lang w:val="en-SE"/>
        </w:rPr>
        <w:t>Finding: Platform Authority Bypass rules.</w:t>
      </w:r>
      <w:r w:rsidRPr="00DD7F55">
        <w:rPr>
          <w:lang w:val="en-SE"/>
        </w:rPr>
        <w:t> </w:t>
      </w:r>
      <w:r w:rsidRPr="00DD7F55">
        <w:rPr>
          <w:b/>
          <w:bCs/>
          <w:lang w:val="en-SE"/>
        </w:rPr>
        <w:t>PARTIALLY AGREE.</w:t>
      </w:r>
      <w:r w:rsidRPr="00DD7F55">
        <w:rPr>
          <w:lang w:val="en-SE"/>
        </w:rPr>
        <w:t xml:space="preserve"> The conditions for bypassing tenant filters are explicitly audited and restricted. However, the </w:t>
      </w:r>
      <w:r w:rsidRPr="00DD7F55">
        <w:rPr>
          <w:lang w:val="en-SE"/>
        </w:rPr>
        <w:lastRenderedPageBreak/>
        <w:t>exact technical mechanism for identifying and overriding this injection at the repository level without polluting domain services requires tighter technical elaboration.</w:t>
      </w:r>
    </w:p>
    <w:p w14:paraId="1358A24E" w14:textId="77777777" w:rsidR="00DD7F55" w:rsidRPr="00DD7F55" w:rsidRDefault="00DD7F55" w:rsidP="00DD7F55">
      <w:pPr>
        <w:rPr>
          <w:lang w:val="en-SE"/>
        </w:rPr>
      </w:pPr>
      <w:r w:rsidRPr="00DD7F55">
        <w:rPr>
          <w:lang w:val="en-SE"/>
        </w:rPr>
        <w:t>4. Cross-Document Consistency Review</w:t>
      </w:r>
    </w:p>
    <w:p w14:paraId="4A5743F5" w14:textId="77777777" w:rsidR="00DD7F55" w:rsidRPr="00DD7F55" w:rsidRDefault="00DD7F55" w:rsidP="00DD7F55">
      <w:pPr>
        <w:rPr>
          <w:lang w:val="en-SE"/>
        </w:rPr>
      </w:pPr>
      <w:r w:rsidRPr="00DD7F55">
        <w:rPr>
          <w:lang w:val="en-SE"/>
        </w:rPr>
        <w:t>The document set demonstrates exceptional consistency across platform scopes. The project-level constraints heavily inform the module-level implementations, and the AI Engine Workflow Specification appropriately defers domain logic to the SRS/ATS documents. The shared canonical lifecycle enumeration (ACTIVE, INACTIVE, ARCHIVED) is well-mapped to domain-specific statuses across both Pipeline Management and User &amp; Client Management modules. However, a notable consistency flaw exists between the Workflow Specification's runtime demands for background task resilience and the database schema contracts in the ATS documents, which fail to define the required fields.</w:t>
      </w:r>
    </w:p>
    <w:p w14:paraId="10D6DBA2" w14:textId="77777777" w:rsidR="00DD7F55" w:rsidRPr="00DD7F55" w:rsidRDefault="00DD7F55" w:rsidP="00DD7F55">
      <w:pPr>
        <w:rPr>
          <w:lang w:val="en-SE"/>
        </w:rPr>
      </w:pPr>
      <w:r w:rsidRPr="00DD7F55">
        <w:rPr>
          <w:lang w:val="en-SE"/>
        </w:rPr>
        <w:t>5. AI Engine Workflow Review</w:t>
      </w:r>
    </w:p>
    <w:p w14:paraId="1DB49039" w14:textId="77777777" w:rsidR="00DD7F55" w:rsidRPr="00DD7F55" w:rsidRDefault="00DD7F55" w:rsidP="00DD7F55">
      <w:pPr>
        <w:rPr>
          <w:lang w:val="en-SE"/>
        </w:rPr>
      </w:pPr>
      <w:r w:rsidRPr="00DD7F55">
        <w:rPr>
          <w:lang w:val="en-SE"/>
        </w:rPr>
        <w:t>The AI Engine Workflow is robust, complete, and implementable. The strict sequencing of Context Engineering (Pipeline 01), Planning (Pipeline 02), Project Management Publishing (Pipeline 03), Generation (Pipeline 04), Validation (Pipeline 05), Apply (Pipeline 06), and Verification (Pipeline 07) establishes a true engineering assembly line. The requirement that pipelines pass structured execution reports and validated artifacts downstream completely eliminates reliance on unstructured LLM context windows.</w:t>
      </w:r>
    </w:p>
    <w:p w14:paraId="330DA14A" w14:textId="77777777" w:rsidR="00DD7F55" w:rsidRPr="00DD7F55" w:rsidRDefault="00DD7F55" w:rsidP="00DD7F55">
      <w:pPr>
        <w:rPr>
          <w:lang w:val="en-SE"/>
        </w:rPr>
      </w:pPr>
      <w:r w:rsidRPr="00DD7F55">
        <w:rPr>
          <w:lang w:val="en-SE"/>
        </w:rPr>
        <w:t>6. AI Code Generation Readiness</w:t>
      </w:r>
    </w:p>
    <w:p w14:paraId="2CF171C5" w14:textId="77777777" w:rsidR="00DD7F55" w:rsidRPr="00DD7F55" w:rsidRDefault="00DD7F55" w:rsidP="00DD7F55">
      <w:pPr>
        <w:rPr>
          <w:lang w:val="en-SE"/>
        </w:rPr>
      </w:pPr>
      <w:r w:rsidRPr="00DD7F55">
        <w:rPr>
          <w:b/>
          <w:bCs/>
          <w:lang w:val="en-SE"/>
        </w:rPr>
        <w:t>Yes.</w:t>
      </w:r>
      <w:r w:rsidRPr="00DD7F55">
        <w:rPr>
          <w:lang w:val="en-SE"/>
        </w:rPr>
        <w:t> The documents collectively contain sufficient deterministic information for an AI Engine to generate an end-to-end web application without making unauthorized architectural assumptions. Ambiguities are systematically eliminated through exact JSON payload shapes, rigorous validation envelopes like the ValidationErrorResponse schema, and exhaustive field-level database schema matrices. The explicit rule that the AI Engine must generate a SpecificationGapManifest instead of inventing missing requirements ensures code generation remains entirely deterministic.</w:t>
      </w:r>
    </w:p>
    <w:p w14:paraId="45A65CE5" w14:textId="77777777" w:rsidR="00DD7F55" w:rsidRPr="00DD7F55" w:rsidRDefault="00DD7F55" w:rsidP="00DD7F55">
      <w:pPr>
        <w:rPr>
          <w:lang w:val="en-SE"/>
        </w:rPr>
      </w:pPr>
      <w:r w:rsidRPr="00DD7F55">
        <w:rPr>
          <w:lang w:val="en-SE"/>
        </w:rPr>
        <w:t>7. Reviewer Gap Identification</w:t>
      </w:r>
    </w:p>
    <w:p w14:paraId="1A469E3A" w14:textId="77777777" w:rsidR="00DD7F55" w:rsidRPr="00DD7F55" w:rsidRDefault="00DD7F55" w:rsidP="00DD7F55">
      <w:pPr>
        <w:numPr>
          <w:ilvl w:val="0"/>
          <w:numId w:val="13"/>
        </w:numPr>
        <w:rPr>
          <w:lang w:val="en-SE"/>
        </w:rPr>
      </w:pPr>
      <w:r w:rsidRPr="00DD7F55">
        <w:rPr>
          <w:b/>
          <w:bCs/>
          <w:lang w:val="en-SE"/>
        </w:rPr>
        <w:t>Gap 1: Missing Heartbeat Fields for Async Resilience.</w:t>
      </w:r>
      <w:r w:rsidRPr="00DD7F55">
        <w:rPr>
          <w:lang w:val="en-SE"/>
        </w:rPr>
        <w:t> The AI Engine Workflow Specification mandates that persisted execution state must include an executing_worker_id and heartbeat data (last_heartbeat_at, heartbeat_interval_seconds) for safe startup reconciliation of FastAPI BackgroundTasks in multi-worker environments. However, the Pipeline Management ATS schema for pipeline_execution completely omits these fields.</w:t>
      </w:r>
    </w:p>
    <w:p w14:paraId="2230D32A" w14:textId="77777777" w:rsidR="00DD7F55" w:rsidRPr="00DD7F55" w:rsidRDefault="00DD7F55" w:rsidP="00DD7F55">
      <w:pPr>
        <w:numPr>
          <w:ilvl w:val="0"/>
          <w:numId w:val="13"/>
        </w:numPr>
        <w:rPr>
          <w:lang w:val="en-SE"/>
        </w:rPr>
      </w:pPr>
      <w:r w:rsidRPr="00DD7F55">
        <w:rPr>
          <w:b/>
          <w:bCs/>
          <w:lang w:val="en-SE"/>
        </w:rPr>
        <w:lastRenderedPageBreak/>
        <w:t>Gap 2: Undefined Frontend Token Storage Mechanism.</w:t>
      </w:r>
      <w:r w:rsidRPr="00DD7F55">
        <w:rPr>
          <w:lang w:val="en-SE"/>
        </w:rPr>
        <w:t> The Workflow Specification states that the frontend token storage mechanism must be defined in the Project Engineering Contract to prevent the Generation pipeline from inventing one. The Project Engineering Contract currently fails to explicitly define whether session tokens should rely on HttpOnly cookies, LocalStorage, or another mechanism.</w:t>
      </w:r>
    </w:p>
    <w:p w14:paraId="4621BFA9" w14:textId="77777777" w:rsidR="00DD7F55" w:rsidRPr="00DD7F55" w:rsidRDefault="00DD7F55" w:rsidP="00DD7F55">
      <w:pPr>
        <w:numPr>
          <w:ilvl w:val="0"/>
          <w:numId w:val="13"/>
        </w:numPr>
        <w:rPr>
          <w:lang w:val="en-SE"/>
        </w:rPr>
      </w:pPr>
      <w:r w:rsidRPr="00DD7F55">
        <w:rPr>
          <w:b/>
          <w:bCs/>
          <w:lang w:val="en-SE"/>
        </w:rPr>
        <w:t>Gap 3: Missing Application-Level Transactional Rollback Definition.</w:t>
      </w:r>
      <w:r w:rsidRPr="00DD7F55">
        <w:rPr>
          <w:lang w:val="en-SE"/>
        </w:rPr>
        <w:t> Pipeline 06 mandates "Transactional Apply" where unrecoverable apply failures must restore the repository to its pre-apply state. The documents lack a definition of the atomic rollback strategy (e.g., Git stashing, file backups), creating an implementation ambiguity for the Apply pipeline.</w:t>
      </w:r>
    </w:p>
    <w:p w14:paraId="17C2823A" w14:textId="77777777" w:rsidR="00DD7F55" w:rsidRPr="00DD7F55" w:rsidRDefault="00DD7F55" w:rsidP="00DD7F55">
      <w:pPr>
        <w:rPr>
          <w:lang w:val="en-SE"/>
        </w:rPr>
      </w:pPr>
      <w:r w:rsidRPr="00DD7F55">
        <w:rPr>
          <w:lang w:val="en-SE"/>
        </w:rPr>
        <w:t>8. Final Recommendation</w:t>
      </w:r>
    </w:p>
    <w:p w14:paraId="1C0A97A8" w14:textId="77777777" w:rsidR="00DD7F55" w:rsidRPr="00DD7F55" w:rsidRDefault="00DD7F55" w:rsidP="00DD7F55">
      <w:pPr>
        <w:rPr>
          <w:lang w:val="en-SE"/>
        </w:rPr>
      </w:pPr>
      <w:r w:rsidRPr="00DD7F55">
        <w:rPr>
          <w:b/>
          <w:bCs/>
          <w:lang w:val="en-SE"/>
        </w:rPr>
        <w:t>Freeze after minor corrections.</w:t>
      </w:r>
    </w:p>
    <w:p w14:paraId="5D68BE6D" w14:textId="77777777" w:rsidR="00DD7F55" w:rsidRPr="00DD7F55" w:rsidRDefault="00DD7F55" w:rsidP="00DD7F55">
      <w:pPr>
        <w:rPr>
          <w:lang w:val="en-SE"/>
        </w:rPr>
      </w:pPr>
      <w:r w:rsidRPr="00DD7F55">
        <w:rPr>
          <w:b/>
          <w:bCs/>
          <w:lang w:val="en-SE"/>
        </w:rPr>
        <w:t>Your Task for this Iteration:</w:t>
      </w:r>
      <w:r w:rsidRPr="00DD7F55">
        <w:rPr>
          <w:lang w:val="en-SE"/>
        </w:rPr>
        <w:t> Please update the relevant SRS and ATS documents to address the specific architectural gaps identified in Section 7 above, ensuring complete harmony between the execution schema, frontend session management, and the workflow resilience mandates before final contract freeze.</w:t>
      </w:r>
    </w:p>
    <w:p w14:paraId="165E56DC" w14:textId="77777777" w:rsidR="00DD7F55" w:rsidRPr="00DD7F55" w:rsidRDefault="00DD7F55" w:rsidP="00DD7F55">
      <w:pPr>
        <w:rPr>
          <w:vanish/>
          <w:lang w:val="en-SE"/>
        </w:rPr>
      </w:pPr>
      <w:r w:rsidRPr="00DD7F55">
        <w:rPr>
          <w:vanish/>
          <w:lang w:val="en-SE"/>
        </w:rPr>
        <w:t>Bottom of Form</w:t>
      </w:r>
    </w:p>
    <w:p w14:paraId="3C36E1AE" w14:textId="77777777" w:rsidR="00DD7F55" w:rsidRPr="00DD7F55" w:rsidRDefault="00DD7F55" w:rsidP="00DD7F55">
      <w:pPr>
        <w:rPr>
          <w:lang w:val="en-SE"/>
        </w:rPr>
      </w:pPr>
      <w:r w:rsidRPr="00DD7F55">
        <w:rPr>
          <w:lang w:val="en-SE"/>
        </w:rPr>
        <w:t>Saved responses are view only</w:t>
      </w:r>
    </w:p>
    <w:p w14:paraId="3C87A3EF" w14:textId="77777777" w:rsidR="00DD7F55" w:rsidRPr="004E2E87" w:rsidRDefault="00DD7F55" w:rsidP="004E2E87"/>
    <w:sectPr w:rsidR="00DD7F55" w:rsidRPr="004E2E87" w:rsidSect="00034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088D"/>
    <w:multiLevelType w:val="multilevel"/>
    <w:tmpl w:val="945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715F9"/>
    <w:multiLevelType w:val="multilevel"/>
    <w:tmpl w:val="5552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84C9D"/>
    <w:multiLevelType w:val="multilevel"/>
    <w:tmpl w:val="CD9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64CCE"/>
    <w:multiLevelType w:val="multilevel"/>
    <w:tmpl w:val="9C70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07C1A"/>
    <w:multiLevelType w:val="multilevel"/>
    <w:tmpl w:val="71C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E7910"/>
    <w:multiLevelType w:val="multilevel"/>
    <w:tmpl w:val="628A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24EB5"/>
    <w:multiLevelType w:val="multilevel"/>
    <w:tmpl w:val="7600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76E45"/>
    <w:multiLevelType w:val="multilevel"/>
    <w:tmpl w:val="4E72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827C3"/>
    <w:multiLevelType w:val="multilevel"/>
    <w:tmpl w:val="1A9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514C3"/>
    <w:multiLevelType w:val="multilevel"/>
    <w:tmpl w:val="6010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34605"/>
    <w:multiLevelType w:val="multilevel"/>
    <w:tmpl w:val="F6E2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1191A"/>
    <w:multiLevelType w:val="multilevel"/>
    <w:tmpl w:val="6D68A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3F0561"/>
    <w:multiLevelType w:val="multilevel"/>
    <w:tmpl w:val="16D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56948">
    <w:abstractNumId w:val="3"/>
  </w:num>
  <w:num w:numId="2" w16cid:durableId="338656475">
    <w:abstractNumId w:val="1"/>
  </w:num>
  <w:num w:numId="3" w16cid:durableId="782042374">
    <w:abstractNumId w:val="2"/>
  </w:num>
  <w:num w:numId="4" w16cid:durableId="88744367">
    <w:abstractNumId w:val="8"/>
  </w:num>
  <w:num w:numId="5" w16cid:durableId="41634845">
    <w:abstractNumId w:val="12"/>
  </w:num>
  <w:num w:numId="6" w16cid:durableId="1593856930">
    <w:abstractNumId w:val="6"/>
  </w:num>
  <w:num w:numId="7" w16cid:durableId="546070983">
    <w:abstractNumId w:val="5"/>
  </w:num>
  <w:num w:numId="8" w16cid:durableId="1071391633">
    <w:abstractNumId w:val="7"/>
  </w:num>
  <w:num w:numId="9" w16cid:durableId="692346424">
    <w:abstractNumId w:val="4"/>
  </w:num>
  <w:num w:numId="10" w16cid:durableId="1028798780">
    <w:abstractNumId w:val="10"/>
  </w:num>
  <w:num w:numId="11" w16cid:durableId="736787988">
    <w:abstractNumId w:val="11"/>
  </w:num>
  <w:num w:numId="12" w16cid:durableId="1038581066">
    <w:abstractNumId w:val="0"/>
  </w:num>
  <w:num w:numId="13" w16cid:durableId="18875245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3D7"/>
    <w:rsid w:val="00031BA6"/>
    <w:rsid w:val="0003407C"/>
    <w:rsid w:val="00042B4E"/>
    <w:rsid w:val="0007406F"/>
    <w:rsid w:val="000E3C70"/>
    <w:rsid w:val="001F1290"/>
    <w:rsid w:val="004E2E87"/>
    <w:rsid w:val="006417EA"/>
    <w:rsid w:val="007509E0"/>
    <w:rsid w:val="00776282"/>
    <w:rsid w:val="00847818"/>
    <w:rsid w:val="008A2A07"/>
    <w:rsid w:val="008A5CD3"/>
    <w:rsid w:val="008D473D"/>
    <w:rsid w:val="00C61D95"/>
    <w:rsid w:val="00C703D7"/>
    <w:rsid w:val="00D43D25"/>
    <w:rsid w:val="00DD7F55"/>
    <w:rsid w:val="00E243FA"/>
    <w:rsid w:val="00FB336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A5058"/>
  <w15:chartTrackingRefBased/>
  <w15:docId w15:val="{0AFF9BCC-D1AC-4407-AFA2-409840A5C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07C"/>
  </w:style>
  <w:style w:type="paragraph" w:styleId="Heading1">
    <w:name w:val="heading 1"/>
    <w:basedOn w:val="Normal"/>
    <w:next w:val="Normal"/>
    <w:link w:val="Heading1Char"/>
    <w:uiPriority w:val="9"/>
    <w:qFormat/>
    <w:rsid w:val="00C7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3D7"/>
    <w:rPr>
      <w:rFonts w:eastAsiaTheme="majorEastAsia" w:cstheme="majorBidi"/>
      <w:color w:val="272727" w:themeColor="text1" w:themeTint="D8"/>
    </w:rPr>
  </w:style>
  <w:style w:type="paragraph" w:styleId="Title">
    <w:name w:val="Title"/>
    <w:basedOn w:val="Normal"/>
    <w:next w:val="Normal"/>
    <w:link w:val="TitleChar"/>
    <w:uiPriority w:val="10"/>
    <w:qFormat/>
    <w:rsid w:val="00C7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3D7"/>
    <w:pPr>
      <w:spacing w:before="160"/>
      <w:jc w:val="center"/>
    </w:pPr>
    <w:rPr>
      <w:i/>
      <w:iCs/>
      <w:color w:val="404040" w:themeColor="text1" w:themeTint="BF"/>
    </w:rPr>
  </w:style>
  <w:style w:type="character" w:customStyle="1" w:styleId="QuoteChar">
    <w:name w:val="Quote Char"/>
    <w:basedOn w:val="DefaultParagraphFont"/>
    <w:link w:val="Quote"/>
    <w:uiPriority w:val="29"/>
    <w:rsid w:val="00C703D7"/>
    <w:rPr>
      <w:i/>
      <w:iCs/>
      <w:color w:val="404040" w:themeColor="text1" w:themeTint="BF"/>
    </w:rPr>
  </w:style>
  <w:style w:type="paragraph" w:styleId="ListParagraph">
    <w:name w:val="List Paragraph"/>
    <w:basedOn w:val="Normal"/>
    <w:uiPriority w:val="34"/>
    <w:qFormat/>
    <w:rsid w:val="00C703D7"/>
    <w:pPr>
      <w:ind w:left="720"/>
      <w:contextualSpacing/>
    </w:pPr>
  </w:style>
  <w:style w:type="character" w:styleId="IntenseEmphasis">
    <w:name w:val="Intense Emphasis"/>
    <w:basedOn w:val="DefaultParagraphFont"/>
    <w:uiPriority w:val="21"/>
    <w:qFormat/>
    <w:rsid w:val="00C703D7"/>
    <w:rPr>
      <w:i/>
      <w:iCs/>
      <w:color w:val="0F4761" w:themeColor="accent1" w:themeShade="BF"/>
    </w:rPr>
  </w:style>
  <w:style w:type="paragraph" w:styleId="IntenseQuote">
    <w:name w:val="Intense Quote"/>
    <w:basedOn w:val="Normal"/>
    <w:next w:val="Normal"/>
    <w:link w:val="IntenseQuoteChar"/>
    <w:uiPriority w:val="30"/>
    <w:qFormat/>
    <w:rsid w:val="00C7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3D7"/>
    <w:rPr>
      <w:i/>
      <w:iCs/>
      <w:color w:val="0F4761" w:themeColor="accent1" w:themeShade="BF"/>
    </w:rPr>
  </w:style>
  <w:style w:type="character" w:styleId="IntenseReference">
    <w:name w:val="Intense Reference"/>
    <w:basedOn w:val="DefaultParagraphFont"/>
    <w:uiPriority w:val="32"/>
    <w:qFormat/>
    <w:rsid w:val="00C70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919</Words>
  <Characters>5242</Characters>
  <Application>Microsoft Office Word</Application>
  <DocSecurity>0</DocSecurity>
  <Lines>43</Lines>
  <Paragraphs>12</Paragraphs>
  <ScaleCrop>false</ScaleCrop>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Cardo Khaledi</dc:creator>
  <cp:keywords/>
  <dc:description/>
  <cp:lastModifiedBy>Cardo Khaledi</cp:lastModifiedBy>
  <cp:revision>4</cp:revision>
  <dcterms:created xsi:type="dcterms:W3CDTF">2026-07-08T19:01:00Z</dcterms:created>
  <dcterms:modified xsi:type="dcterms:W3CDTF">2026-07-08T19:02:00Z</dcterms:modified>
</cp:coreProperties>
</file>