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EDD8" w14:textId="77777777" w:rsidR="00134A27" w:rsidRPr="008147C5" w:rsidRDefault="00000000">
      <w:pPr>
        <w:spacing w:after="40"/>
        <w:jc w:val="center"/>
        <w:rPr>
          <w:lang w:val="pt-BR"/>
        </w:rPr>
      </w:pPr>
      <w:r w:rsidRPr="008147C5">
        <w:rPr>
          <w:rFonts w:ascii="Aptos Display" w:hAnsi="Aptos Display"/>
          <w:b/>
          <w:sz w:val="36"/>
          <w:lang w:val="pt-BR"/>
        </w:rPr>
        <w:t>Machine Learning Canvas | IA para Liberação Automática de Documentos de Faturamento com Exceção</w:t>
      </w:r>
    </w:p>
    <w:p w14:paraId="3CB53596" w14:textId="77777777" w:rsidR="00134A27" w:rsidRPr="008147C5" w:rsidRDefault="00000000">
      <w:pPr>
        <w:spacing w:after="100"/>
        <w:jc w:val="center"/>
        <w:rPr>
          <w:lang w:val="pt-BR"/>
        </w:rPr>
      </w:pPr>
      <w:r w:rsidRPr="008147C5">
        <w:rPr>
          <w:rFonts w:ascii="Aptos" w:hAnsi="Aptos"/>
          <w:sz w:val="19"/>
          <w:lang w:val="pt-BR"/>
        </w:rPr>
        <w:t>Utilities - Energia, Gás e Água | Processo Meter-to-Cash | Canvas em formato A3 landscape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5400"/>
        <w:gridCol w:w="4392"/>
        <w:gridCol w:w="4392"/>
      </w:tblGrid>
      <w:tr w:rsidR="00134A27" w14:paraId="48FB32AA" w14:textId="77777777">
        <w:trPr>
          <w:trHeight w:val="547"/>
          <w:jc w:val="center"/>
        </w:trPr>
        <w:tc>
          <w:tcPr>
            <w:tcW w:w="878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4D8E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D5853A" w14:textId="77777777" w:rsidR="00134A27" w:rsidRDefault="00000000">
            <w:pPr>
              <w:jc w:val="center"/>
            </w:pPr>
            <w:r>
              <w:rPr>
                <w:rFonts w:ascii="Aptos Display" w:hAnsi="Aptos Display"/>
                <w:b/>
                <w:sz w:val="21"/>
              </w:rPr>
              <w:t>PREDIÇÕES</w:t>
            </w:r>
          </w:p>
        </w:tc>
        <w:tc>
          <w:tcPr>
            <w:tcW w:w="5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FE0A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4AB5B" w14:textId="77777777" w:rsidR="00134A27" w:rsidRDefault="00000000">
            <w:pPr>
              <w:jc w:val="center"/>
            </w:pPr>
            <w:r>
              <w:rPr>
                <w:rFonts w:ascii="Aptos Display" w:hAnsi="Aptos Display"/>
                <w:b/>
                <w:sz w:val="21"/>
              </w:rPr>
              <w:t>OBJETIVO / PROPOSTA DE VALOR</w:t>
            </w:r>
          </w:p>
        </w:tc>
        <w:tc>
          <w:tcPr>
            <w:tcW w:w="878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D26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E9F1F" w14:textId="77777777" w:rsidR="00134A27" w:rsidRDefault="00000000">
            <w:pPr>
              <w:jc w:val="center"/>
            </w:pPr>
            <w:r>
              <w:rPr>
                <w:rFonts w:ascii="Aptos Display" w:hAnsi="Aptos Display"/>
                <w:b/>
                <w:sz w:val="21"/>
              </w:rPr>
              <w:t>APRENDIZAGEM</w:t>
            </w:r>
          </w:p>
        </w:tc>
      </w:tr>
      <w:tr w:rsidR="00134A27" w:rsidRPr="008147C5" w14:paraId="4866594B" w14:textId="77777777">
        <w:trPr>
          <w:trHeight w:val="5112"/>
          <w:jc w:val="center"/>
        </w:trPr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E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D38BC2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Decisões</w:t>
            </w:r>
          </w:p>
          <w:p w14:paraId="39A56FD0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&gt; 90% confiança: liberação automática da fatura, sem toque humano.</w:t>
            </w:r>
          </w:p>
          <w:p w14:paraId="1ABF4C57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70% a 90%: revisão simplificada em lote homogêneo ou aprovação rápida.</w:t>
            </w:r>
          </w:p>
          <w:p w14:paraId="37E06DE9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&lt; 70%: análise manual por especialista, com prioridade por risco e impacto.</w:t>
            </w:r>
          </w:p>
          <w:p w14:paraId="37E56859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Sempre manter trilha de auditoria, justificativa do score e bloqueio para casos críticos.</w:t>
            </w: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E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E0FCF7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ML Task</w:t>
            </w:r>
          </w:p>
          <w:p w14:paraId="30557961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Classificação supervisionada binária com score probabilístico.</w:t>
            </w:r>
          </w:p>
          <w:p w14:paraId="5A1E5C92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Input: documento de faturamento já em exceção + contexto de consumo, faturamento, cadastro e operação.</w:t>
            </w:r>
          </w:p>
          <w:p w14:paraId="59D2412D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Output: probabilidade de liberação sem correção manual + faixa de tratamento operacional.</w:t>
            </w:r>
          </w:p>
          <w:p w14:paraId="721B4A04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Alvo de treino: liberado sem correção vs. corrigido, reprocessado ou retido.</w:t>
            </w:r>
          </w:p>
        </w:tc>
        <w:tc>
          <w:tcPr>
            <w:tcW w:w="5400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F3D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36029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20"/>
                <w:lang w:val="pt-BR"/>
              </w:rPr>
              <w:t>Objetivo</w:t>
            </w:r>
          </w:p>
          <w:p w14:paraId="62BCBD2A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6"/>
                <w:lang w:val="pt-BR"/>
              </w:rPr>
              <w:t>• O quê: prever a probabilidade de um documento em exceção ser liberado sem intervenção ou correção manual.</w:t>
            </w:r>
          </w:p>
          <w:p w14:paraId="7DB1DDE7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6"/>
                <w:lang w:val="pt-BR"/>
              </w:rPr>
              <w:t>• Por quê: reduzir gargalos no fechamento, esforço operacional e custo administrativo, preservando receita e compliance.</w:t>
            </w:r>
          </w:p>
          <w:p w14:paraId="2B9AEB78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6"/>
                <w:lang w:val="pt-BR"/>
              </w:rPr>
              <w:t>• Quem: equipes de faturamento, especialistas Meter-to-Cash, gestores de operação, auditoria e áreas regulatórias.</w:t>
            </w:r>
          </w:p>
          <w:p w14:paraId="71481A81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6"/>
                <w:lang w:val="pt-BR"/>
              </w:rPr>
              <w:t>• Valor: transformar uma fila única em triagem inteligente por risco, liberando casos previsíveis e isolando desvios complexos.</w:t>
            </w: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3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2DC4BD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Fontes de Dados</w:t>
            </w:r>
          </w:p>
          <w:p w14:paraId="54E18CDB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SAP Utilities: documentos de faturamento, motivos de exceção, status de retenção/liberação e histórico de correções.</w:t>
            </w:r>
          </w:p>
          <w:p w14:paraId="6BE593AF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Medição/VEE: leitura atual, histórico plurianual, consumo calculado, sazonalidade e método de coleta.</w:t>
            </w:r>
          </w:p>
          <w:p w14:paraId="615F9084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Cadastro: instalação, classe de consumo, grupo tarifário, características técnicas e contrato.</w:t>
            </w:r>
          </w:p>
          <w:p w14:paraId="2A38002E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Operação: decisões passadas dos especialistas, retrabalho, reprocessamentos e logs de exceção.</w:t>
            </w:r>
          </w:p>
          <w:p w14:paraId="416BB196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Externas opcionais: clima, calendário, feriados, eventos sazonais e marcos regulatórios.</w:t>
            </w: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3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88AF44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Coletando Dados</w:t>
            </w:r>
          </w:p>
          <w:p w14:paraId="25B8B380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Extrair histórico saneado e rotulado por camada de dados segura conectada ao SAP.</w:t>
            </w:r>
          </w:p>
          <w:p w14:paraId="39CAE947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Criar label operacional: liberado sem correção vs. corrigido, reprocessado ou retido.</w:t>
            </w:r>
          </w:p>
          <w:p w14:paraId="38640FFA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Capturar novas decisões dos analistas como feedback contínuo do modelo.</w:t>
            </w:r>
          </w:p>
          <w:p w14:paraId="71C5B2B9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Governança: remover ruídos cadastrais, duplicidades, erros preexistentes e dados sem rastreabilidade.</w:t>
            </w:r>
          </w:p>
        </w:tc>
      </w:tr>
      <w:tr w:rsidR="00134A27" w:rsidRPr="008147C5" w14:paraId="48359D34" w14:textId="77777777">
        <w:trPr>
          <w:trHeight w:val="4896"/>
          <w:jc w:val="center"/>
        </w:trPr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E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C7647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Quando e como fazer predições</w:t>
            </w:r>
          </w:p>
          <w:p w14:paraId="56D24813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Executar após validações ERP/VEE e geração da exceção, antes da emissão final.</w:t>
            </w:r>
          </w:p>
          <w:p w14:paraId="5C23E947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Rodar em batch no fechamento mensal e, quando necessário, near-real-time para filas críticas.</w:t>
            </w:r>
          </w:p>
          <w:p w14:paraId="68B9239B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Recalcular quando houver nova leitura, correção cadastral, alteração de regra ou mudança tarifária.</w:t>
            </w:r>
          </w:p>
          <w:p w14:paraId="2197D0D8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Priorizar filas por risco, previsibilidade, valor financeiro e prazo regulatório.</w:t>
            </w: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EE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3B8A6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Avaliação Offline</w:t>
            </w:r>
          </w:p>
          <w:p w14:paraId="533F8B66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Separar treino/teste por janela temporal para simular o fechamento real.</w:t>
            </w:r>
          </w:p>
          <w:p w14:paraId="47D3B2C1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Métricas: ROC-AUC, PR-AUC, precisão/recall por faixa, matriz de confusão, calibração/Brier.</w:t>
            </w:r>
          </w:p>
          <w:p w14:paraId="1F7D62C4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Critério crítico: minimizar falso positivo de liberação automática.</w:t>
            </w:r>
          </w:p>
          <w:p w14:paraId="2842CC13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Validar impacto financeiro, redução de esforço e SLA em piloto controlado antes do deploy.</w:t>
            </w:r>
          </w:p>
        </w:tc>
        <w:tc>
          <w:tcPr>
            <w:tcW w:w="5400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BCAB2" w14:textId="77777777" w:rsidR="00134A27" w:rsidRPr="008147C5" w:rsidRDefault="00134A27">
            <w:pPr>
              <w:rPr>
                <w:lang w:val="pt-BR"/>
              </w:rPr>
            </w:pP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3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BBE7AD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Features (Variáveis)</w:t>
            </w:r>
          </w:p>
          <w:p w14:paraId="17B3CFF6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Desvio do consumo atual contra histórico, média sazonal e perfil de instalação.</w:t>
            </w:r>
          </w:p>
          <w:p w14:paraId="683DCA5C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Valor faturado, variação contra média e histórico de desvios/exceções.</w:t>
            </w:r>
          </w:p>
          <w:p w14:paraId="25891BE4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Motivo da exceção, recorrência e resultado recente de casos similares.</w:t>
            </w:r>
          </w:p>
          <w:p w14:paraId="17FFC5F5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Classe de consumo, grupo tarifário, instalação, método de leitura e características técnicas.</w:t>
            </w:r>
          </w:p>
          <w:p w14:paraId="4A5A1076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Idade da fila, frequência de correções anteriores e impacto financeiro estimado.</w:t>
            </w:r>
          </w:p>
        </w:tc>
        <w:tc>
          <w:tcPr>
            <w:tcW w:w="43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3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64B24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8"/>
                <w:lang w:val="pt-BR"/>
              </w:rPr>
              <w:t>Construindo o Modelo</w:t>
            </w:r>
          </w:p>
          <w:p w14:paraId="49EDA0D5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Baseline interpretável: regressão logística.</w:t>
            </w:r>
          </w:p>
          <w:p w14:paraId="3C3FF5DA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Modelos candidatos: Random Forest e Gradient Boosting para relações não lineares e variáveis categóricas.</w:t>
            </w:r>
          </w:p>
          <w:p w14:paraId="7CC78A4D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Calibrar thresholds com negócio: &gt;90%, 70-90%, &lt;70%.</w:t>
            </w:r>
          </w:p>
          <w:p w14:paraId="0E11B193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Retreinar mensal/trimestralmente ou após mudanças de regra, tarifa, cadastro ou processo.</w:t>
            </w:r>
          </w:p>
          <w:p w14:paraId="57D602C8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4"/>
                <w:lang w:val="pt-BR"/>
              </w:rPr>
              <w:t>• Deploy com explainability, versionamento, monitoramento de drift e rollback.</w:t>
            </w:r>
          </w:p>
        </w:tc>
      </w:tr>
      <w:tr w:rsidR="00134A27" w:rsidRPr="008147C5" w14:paraId="4923D6E1" w14:textId="77777777">
        <w:trPr>
          <w:trHeight w:val="2088"/>
          <w:jc w:val="center"/>
        </w:trPr>
        <w:tc>
          <w:tcPr>
            <w:tcW w:w="22968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DDF5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CB8F8" w14:textId="77777777" w:rsidR="00134A27" w:rsidRPr="008147C5" w:rsidRDefault="00000000">
            <w:pPr>
              <w:spacing w:after="20"/>
              <w:rPr>
                <w:lang w:val="pt-BR"/>
              </w:rPr>
            </w:pPr>
            <w:r w:rsidRPr="008147C5">
              <w:rPr>
                <w:rFonts w:ascii="Aptos" w:hAnsi="Aptos"/>
                <w:b/>
                <w:sz w:val="19"/>
                <w:lang w:val="pt-BR"/>
              </w:rPr>
              <w:t>Avaliação Online e Monitoramento</w:t>
            </w:r>
          </w:p>
          <w:p w14:paraId="6DB0DD34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5"/>
                <w:lang w:val="pt-BR"/>
              </w:rPr>
              <w:t>• Taxa de auto-liberação segura por faixa de confiança.</w:t>
            </w:r>
          </w:p>
          <w:p w14:paraId="35230F4C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5"/>
                <w:lang w:val="pt-BR"/>
              </w:rPr>
              <w:t>• Redução de esforço manual, tempo médio na fila e velocidade do ciclo Meter-to-Cash.</w:t>
            </w:r>
          </w:p>
          <w:p w14:paraId="1D0EB6BF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5"/>
                <w:lang w:val="pt-BR"/>
              </w:rPr>
              <w:t>• Falso positivo de liberação, refaturamento, contestação, reclamações e alertas regulatórios.</w:t>
            </w:r>
          </w:p>
          <w:p w14:paraId="58857296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5"/>
                <w:lang w:val="pt-BR"/>
              </w:rPr>
              <w:t>• Drift de dados/modelo, calibração do score e qualidade dos labels novos.</w:t>
            </w:r>
          </w:p>
          <w:p w14:paraId="1289BCFC" w14:textId="77777777" w:rsidR="00134A27" w:rsidRPr="008147C5" w:rsidRDefault="00000000">
            <w:pPr>
              <w:spacing w:after="20"/>
              <w:ind w:left="144" w:hanging="144"/>
              <w:rPr>
                <w:lang w:val="pt-BR"/>
              </w:rPr>
            </w:pPr>
            <w:r w:rsidRPr="008147C5">
              <w:rPr>
                <w:rFonts w:ascii="Aptos" w:hAnsi="Aptos"/>
                <w:sz w:val="15"/>
                <w:lang w:val="pt-BR"/>
              </w:rPr>
              <w:t>• ROI: horas economizadas, custo evitado, receita preservada e aderência ao fechamento mensal.</w:t>
            </w:r>
          </w:p>
        </w:tc>
      </w:tr>
    </w:tbl>
    <w:p w14:paraId="7EF74C94" w14:textId="70C2B8CD" w:rsidR="00134A27" w:rsidRDefault="00000000">
      <w:pPr>
        <w:spacing w:before="40"/>
        <w:jc w:val="right"/>
      </w:pPr>
      <w:r>
        <w:rPr>
          <w:rFonts w:ascii="Aptos" w:hAnsi="Aptos"/>
          <w:i/>
          <w:sz w:val="13"/>
        </w:rPr>
        <w:t xml:space="preserve">Fonte-base: Business case IA Utilities </w:t>
      </w:r>
    </w:p>
    <w:sectPr w:rsidR="00134A27" w:rsidSect="00034616">
      <w:pgSz w:w="23818" w:h="16834" w:orient="landscape"/>
      <w:pgMar w:top="403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162092">
    <w:abstractNumId w:val="8"/>
  </w:num>
  <w:num w:numId="2" w16cid:durableId="1130055604">
    <w:abstractNumId w:val="6"/>
  </w:num>
  <w:num w:numId="3" w16cid:durableId="1319724132">
    <w:abstractNumId w:val="5"/>
  </w:num>
  <w:num w:numId="4" w16cid:durableId="1787431759">
    <w:abstractNumId w:val="4"/>
  </w:num>
  <w:num w:numId="5" w16cid:durableId="1196306450">
    <w:abstractNumId w:val="7"/>
  </w:num>
  <w:num w:numId="6" w16cid:durableId="209072080">
    <w:abstractNumId w:val="3"/>
  </w:num>
  <w:num w:numId="7" w16cid:durableId="466581416">
    <w:abstractNumId w:val="2"/>
  </w:num>
  <w:num w:numId="8" w16cid:durableId="430398114">
    <w:abstractNumId w:val="1"/>
  </w:num>
  <w:num w:numId="9" w16cid:durableId="58839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27"/>
    <w:rsid w:val="0015074B"/>
    <w:rsid w:val="00287DF5"/>
    <w:rsid w:val="0029639D"/>
    <w:rsid w:val="00326F90"/>
    <w:rsid w:val="008147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2A133"/>
  <w14:defaultImageDpi w14:val="300"/>
  <w15:docId w15:val="{42D5E1AB-79FE-4384-BE12-5A497E9E5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677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JESUS SILVA</cp:lastModifiedBy>
  <cp:revision>2</cp:revision>
  <dcterms:created xsi:type="dcterms:W3CDTF">2013-12-23T23:15:00Z</dcterms:created>
  <dcterms:modified xsi:type="dcterms:W3CDTF">2026-06-16T22:21:00Z</dcterms:modified>
  <cp:category/>
</cp:coreProperties>
</file>