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elha"/>
        <w:tblpPr w:leftFromText="141" w:rightFromText="141" w:vertAnchor="page" w:horzAnchor="margin" w:tblpY="2161"/>
        <w:tblW w:w="0" w:type="auto"/>
        <w:tblLook w:val="04A0" w:firstRow="1" w:lastRow="0" w:firstColumn="1" w:lastColumn="0" w:noHBand="0" w:noVBand="1"/>
      </w:tblPr>
      <w:tblGrid>
        <w:gridCol w:w="2205"/>
        <w:gridCol w:w="2292"/>
        <w:gridCol w:w="2219"/>
        <w:gridCol w:w="1778"/>
      </w:tblGrid>
      <w:tr w:rsidR="00E16A5B" w14:paraId="3ED60DCB" w14:textId="77777777" w:rsidTr="00E16A5B">
        <w:tc>
          <w:tcPr>
            <w:tcW w:w="2205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690F9CAA" w14:textId="77777777" w:rsidR="00E16A5B" w:rsidRDefault="00E16A5B" w:rsidP="00E16A5B">
            <w:pPr>
              <w:rPr>
                <w:b/>
              </w:rPr>
            </w:pPr>
            <w:r>
              <w:rPr>
                <w:b/>
              </w:rPr>
              <w:t>Ficheiro XML</w:t>
            </w:r>
          </w:p>
        </w:tc>
        <w:tc>
          <w:tcPr>
            <w:tcW w:w="2292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16FA0FEF" w14:textId="77777777" w:rsidR="00E16A5B" w:rsidRDefault="00E16A5B" w:rsidP="00E16A5B">
            <w:pPr>
              <w:rPr>
                <w:b/>
              </w:rPr>
            </w:pPr>
            <w:r>
              <w:rPr>
                <w:b/>
              </w:rPr>
              <w:t>Ficheiro CSV</w:t>
            </w:r>
          </w:p>
        </w:tc>
        <w:tc>
          <w:tcPr>
            <w:tcW w:w="2219" w:type="dxa"/>
            <w:shd w:val="clear" w:color="auto" w:fill="D0CECE" w:themeFill="background2" w:themeFillShade="E6"/>
          </w:tcPr>
          <w:p w14:paraId="12420610" w14:textId="77777777" w:rsidR="00E16A5B" w:rsidRDefault="00E16A5B" w:rsidP="00E16A5B">
            <w:pPr>
              <w:rPr>
                <w:b/>
              </w:rPr>
            </w:pPr>
            <w:r>
              <w:rPr>
                <w:b/>
              </w:rPr>
              <w:t>Comentário</w:t>
            </w:r>
          </w:p>
        </w:tc>
        <w:tc>
          <w:tcPr>
            <w:tcW w:w="1778" w:type="dxa"/>
            <w:shd w:val="clear" w:color="auto" w:fill="D0CECE" w:themeFill="background2" w:themeFillShade="E6"/>
          </w:tcPr>
          <w:p w14:paraId="09EF5D2C" w14:textId="77777777" w:rsidR="00E16A5B" w:rsidRDefault="00E16A5B" w:rsidP="00E16A5B">
            <w:pPr>
              <w:rPr>
                <w:b/>
              </w:rPr>
            </w:pPr>
            <w:r>
              <w:rPr>
                <w:b/>
              </w:rPr>
              <w:t>Melhor</w:t>
            </w:r>
          </w:p>
        </w:tc>
      </w:tr>
      <w:tr w:rsidR="00E16A5B" w:rsidRPr="00530832" w14:paraId="733D2B71" w14:textId="77777777" w:rsidTr="00E16A5B">
        <w:tc>
          <w:tcPr>
            <w:tcW w:w="2205" w:type="dxa"/>
            <w:shd w:val="clear" w:color="auto" w:fill="FF7C80"/>
          </w:tcPr>
          <w:p w14:paraId="34DBF00D" w14:textId="77777777" w:rsidR="00E16A5B" w:rsidRDefault="00E16A5B" w:rsidP="00E16A5B">
            <w:pPr>
              <w:rPr>
                <w:b/>
              </w:rPr>
            </w:pPr>
            <w:r>
              <w:rPr>
                <w:b/>
              </w:rPr>
              <w:t>Ficheiro de maior tamanho</w:t>
            </w:r>
          </w:p>
        </w:tc>
        <w:tc>
          <w:tcPr>
            <w:tcW w:w="2292" w:type="dxa"/>
            <w:shd w:val="clear" w:color="auto" w:fill="A8D08D" w:themeFill="accent6" w:themeFillTint="99"/>
          </w:tcPr>
          <w:p w14:paraId="7494EB40" w14:textId="77777777" w:rsidR="00E16A5B" w:rsidRDefault="00E16A5B" w:rsidP="00E16A5B">
            <w:pPr>
              <w:rPr>
                <w:b/>
              </w:rPr>
            </w:pPr>
            <w:r>
              <w:rPr>
                <w:b/>
              </w:rPr>
              <w:t>Ficheiro de menor tamanho</w:t>
            </w:r>
          </w:p>
        </w:tc>
        <w:tc>
          <w:tcPr>
            <w:tcW w:w="2219" w:type="dxa"/>
            <w:vMerge w:val="restart"/>
          </w:tcPr>
          <w:p w14:paraId="1011EFDD" w14:textId="77777777" w:rsidR="00E16A5B" w:rsidRPr="00530832" w:rsidRDefault="00E16A5B" w:rsidP="00E16A5B">
            <w:pPr>
              <w:rPr>
                <w:sz w:val="18"/>
              </w:rPr>
            </w:pPr>
            <w:r w:rsidRPr="00530832">
              <w:rPr>
                <w:sz w:val="18"/>
              </w:rPr>
              <w:t>A pequena dimensão da nossa</w:t>
            </w:r>
            <w:r>
              <w:rPr>
                <w:sz w:val="18"/>
              </w:rPr>
              <w:t xml:space="preserve"> BD</w:t>
            </w:r>
            <w:r w:rsidRPr="00530832">
              <w:rPr>
                <w:sz w:val="18"/>
              </w:rPr>
              <w:t xml:space="preserve"> e a periodicidade das migrações</w:t>
            </w:r>
            <w:r>
              <w:rPr>
                <w:sz w:val="18"/>
              </w:rPr>
              <w:t xml:space="preserve"> (diária)</w:t>
            </w:r>
            <w:r w:rsidRPr="00530832">
              <w:rPr>
                <w:sz w:val="18"/>
              </w:rPr>
              <w:t>, tornam estes pontos irrelevante</w:t>
            </w:r>
            <w:r>
              <w:rPr>
                <w:sz w:val="18"/>
              </w:rPr>
              <w:t>s.</w:t>
            </w:r>
          </w:p>
        </w:tc>
        <w:tc>
          <w:tcPr>
            <w:tcW w:w="1778" w:type="dxa"/>
          </w:tcPr>
          <w:p w14:paraId="1B2B9D45" w14:textId="77777777" w:rsidR="00E16A5B" w:rsidRPr="00530832" w:rsidRDefault="00E16A5B" w:rsidP="00E16A5B">
            <w:pPr>
              <w:rPr>
                <w:sz w:val="18"/>
              </w:rPr>
            </w:pPr>
            <w:r>
              <w:rPr>
                <w:b/>
              </w:rPr>
              <w:t>Irrelevante</w:t>
            </w:r>
          </w:p>
        </w:tc>
      </w:tr>
      <w:tr w:rsidR="00E16A5B" w14:paraId="3574D00C" w14:textId="77777777" w:rsidTr="00E16A5B">
        <w:tc>
          <w:tcPr>
            <w:tcW w:w="2205" w:type="dxa"/>
            <w:tcBorders>
              <w:bottom w:val="single" w:sz="4" w:space="0" w:color="auto"/>
            </w:tcBorders>
            <w:shd w:val="clear" w:color="auto" w:fill="FF7C80"/>
          </w:tcPr>
          <w:p w14:paraId="0CB883EB" w14:textId="77777777" w:rsidR="00E16A5B" w:rsidRDefault="00E16A5B" w:rsidP="00E16A5B">
            <w:pPr>
              <w:rPr>
                <w:b/>
              </w:rPr>
            </w:pPr>
            <w:r>
              <w:rPr>
                <w:b/>
              </w:rPr>
              <w:t>Lentidão na migração</w:t>
            </w:r>
          </w:p>
        </w:tc>
        <w:tc>
          <w:tcPr>
            <w:tcW w:w="2292" w:type="dxa"/>
            <w:shd w:val="clear" w:color="auto" w:fill="A8D08D" w:themeFill="accent6" w:themeFillTint="99"/>
          </w:tcPr>
          <w:p w14:paraId="1DA97736" w14:textId="77777777" w:rsidR="00E16A5B" w:rsidRDefault="00E16A5B" w:rsidP="00E16A5B">
            <w:pPr>
              <w:rPr>
                <w:b/>
              </w:rPr>
            </w:pPr>
            <w:r>
              <w:rPr>
                <w:b/>
              </w:rPr>
              <w:t>Maior rapidez na migração</w:t>
            </w:r>
          </w:p>
        </w:tc>
        <w:tc>
          <w:tcPr>
            <w:tcW w:w="2219" w:type="dxa"/>
            <w:vMerge/>
          </w:tcPr>
          <w:p w14:paraId="094F05DF" w14:textId="77777777" w:rsidR="00E16A5B" w:rsidRDefault="00E16A5B" w:rsidP="00E16A5B">
            <w:pPr>
              <w:rPr>
                <w:b/>
              </w:rPr>
            </w:pPr>
          </w:p>
        </w:tc>
        <w:tc>
          <w:tcPr>
            <w:tcW w:w="1778" w:type="dxa"/>
          </w:tcPr>
          <w:p w14:paraId="37A0F8C8" w14:textId="77777777" w:rsidR="00E16A5B" w:rsidRDefault="00E16A5B" w:rsidP="00E16A5B">
            <w:pPr>
              <w:rPr>
                <w:b/>
              </w:rPr>
            </w:pPr>
            <w:r>
              <w:rPr>
                <w:b/>
              </w:rPr>
              <w:t>Irrelevante</w:t>
            </w:r>
          </w:p>
        </w:tc>
      </w:tr>
      <w:tr w:rsidR="00E16A5B" w14:paraId="7AB7C598" w14:textId="77777777" w:rsidTr="00E16A5B">
        <w:tc>
          <w:tcPr>
            <w:tcW w:w="2205" w:type="dxa"/>
            <w:tcBorders>
              <w:bottom w:val="single" w:sz="4" w:space="0" w:color="auto"/>
            </w:tcBorders>
            <w:shd w:val="clear" w:color="auto" w:fill="A8D08D" w:themeFill="accent6" w:themeFillTint="99"/>
          </w:tcPr>
          <w:p w14:paraId="5D5E2976" w14:textId="77777777" w:rsidR="00E16A5B" w:rsidRDefault="00E16A5B" w:rsidP="00E16A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  <w:r w:rsidRPr="00DE7027">
              <w:rPr>
                <w:b/>
              </w:rPr>
              <w:t xml:space="preserve">Um ficheiro </w:t>
            </w:r>
            <w:proofErr w:type="spellStart"/>
            <w:r w:rsidRPr="00DE7027">
              <w:rPr>
                <w:b/>
              </w:rPr>
              <w:t>Xml</w:t>
            </w:r>
            <w:proofErr w:type="spellEnd"/>
            <w:r w:rsidRPr="00DE7027">
              <w:rPr>
                <w:b/>
              </w:rPr>
              <w:t xml:space="preserve"> é </w:t>
            </w:r>
            <w:r w:rsidRPr="000F320A">
              <w:rPr>
                <w:b/>
              </w:rPr>
              <w:t xml:space="preserve">intrinsecamente hierárquico </w:t>
            </w:r>
            <w:r>
              <w:rPr>
                <w:b/>
              </w:rPr>
              <w:t>–</w:t>
            </w:r>
            <w:r w:rsidRPr="000F320A"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 w:rsidRPr="000F320A">
              <w:rPr>
                <w:b/>
              </w:rPr>
              <w:t>orientado a objetos, por assim dizer</w:t>
            </w:r>
            <w:r>
              <w:rPr>
                <w:b/>
              </w:rPr>
              <w:t>)</w:t>
            </w:r>
            <w:r w:rsidRPr="00DE7027">
              <w:rPr>
                <w:b/>
              </w:rPr>
              <w:t xml:space="preserve">; sendo possível construir </w:t>
            </w:r>
            <w:r w:rsidRPr="000F320A">
              <w:rPr>
                <w:b/>
              </w:rPr>
              <w:t>informações relacionais para especificar relações mais complexas.</w:t>
            </w:r>
          </w:p>
        </w:tc>
        <w:tc>
          <w:tcPr>
            <w:tcW w:w="2292" w:type="dxa"/>
            <w:shd w:val="clear" w:color="auto" w:fill="FF7C80"/>
          </w:tcPr>
          <w:p w14:paraId="00696A30" w14:textId="77777777" w:rsidR="00E16A5B" w:rsidRDefault="00E16A5B" w:rsidP="00E16A5B">
            <w:pPr>
              <w:rPr>
                <w:b/>
              </w:rPr>
            </w:pPr>
            <w:r>
              <w:rPr>
                <w:b/>
              </w:rPr>
              <w:t>O CSV é mais vantajoso para armazenar dados de tabelas. M</w:t>
            </w:r>
            <w:r w:rsidRPr="007F64E3">
              <w:rPr>
                <w:b/>
              </w:rPr>
              <w:t xml:space="preserve">as não permite </w:t>
            </w:r>
            <w:r>
              <w:rPr>
                <w:b/>
              </w:rPr>
              <w:t>reproduzir</w:t>
            </w:r>
            <w:r w:rsidRPr="007F64E3">
              <w:rPr>
                <w:b/>
              </w:rPr>
              <w:t xml:space="preserve"> </w:t>
            </w:r>
            <w:r>
              <w:rPr>
                <w:b/>
              </w:rPr>
              <w:t>relações entre dados</w:t>
            </w:r>
            <w:r w:rsidRPr="00CB440F">
              <w:rPr>
                <w:b/>
              </w:rPr>
              <w:t xml:space="preserve"> – não </w:t>
            </w:r>
            <w:proofErr w:type="gramStart"/>
            <w:r w:rsidRPr="00CB440F">
              <w:rPr>
                <w:b/>
              </w:rPr>
              <w:t>mantém portanto</w:t>
            </w:r>
            <w:proofErr w:type="gramEnd"/>
            <w:r w:rsidRPr="00CB440F">
              <w:rPr>
                <w:b/>
              </w:rPr>
              <w:t xml:space="preserve"> a consistência dos dados.</w:t>
            </w:r>
          </w:p>
        </w:tc>
        <w:tc>
          <w:tcPr>
            <w:tcW w:w="2219" w:type="dxa"/>
          </w:tcPr>
          <w:p w14:paraId="671B7081" w14:textId="77777777" w:rsidR="00E16A5B" w:rsidRPr="00D4704C" w:rsidRDefault="00E16A5B" w:rsidP="00E16A5B">
            <w:pPr>
              <w:rPr>
                <w:sz w:val="18"/>
              </w:rPr>
            </w:pPr>
            <w:r w:rsidRPr="00D4704C">
              <w:rPr>
                <w:sz w:val="18"/>
              </w:rPr>
              <w:t xml:space="preserve">As técnicas para traduzir </w:t>
            </w:r>
          </w:p>
          <w:p w14:paraId="22B7E021" w14:textId="77777777" w:rsidR="00E16A5B" w:rsidRPr="00D4704C" w:rsidRDefault="00E16A5B" w:rsidP="00E16A5B">
            <w:pPr>
              <w:rPr>
                <w:sz w:val="18"/>
              </w:rPr>
            </w:pPr>
            <w:r w:rsidRPr="00D4704C">
              <w:rPr>
                <w:sz w:val="18"/>
              </w:rPr>
              <w:t>as relações podem ser complicadas</w:t>
            </w:r>
          </w:p>
          <w:p w14:paraId="031E1CFF" w14:textId="77777777" w:rsidR="00E16A5B" w:rsidRDefault="00E16A5B" w:rsidP="00E16A5B">
            <w:pPr>
              <w:rPr>
                <w:sz w:val="18"/>
              </w:rPr>
            </w:pPr>
            <w:r w:rsidRPr="00D4704C">
              <w:rPr>
                <w:sz w:val="18"/>
              </w:rPr>
              <w:t xml:space="preserve">Uma BD relacional, </w:t>
            </w:r>
            <w:r w:rsidRPr="000F320A">
              <w:rPr>
                <w:sz w:val="18"/>
              </w:rPr>
              <w:t xml:space="preserve">consiste em várias tabelas simples com links relacionais para outras tabelas simples, e as técnicas para fazer essas relações podem </w:t>
            </w:r>
            <w:r w:rsidRPr="00D4704C">
              <w:rPr>
                <w:sz w:val="18"/>
              </w:rPr>
              <w:t>ser muito</w:t>
            </w:r>
            <w:r w:rsidRPr="000F320A">
              <w:rPr>
                <w:sz w:val="18"/>
              </w:rPr>
              <w:t xml:space="preserve"> complicadas.</w:t>
            </w:r>
          </w:p>
          <w:p w14:paraId="354B0F4C" w14:textId="77777777" w:rsidR="00E16A5B" w:rsidRDefault="00E16A5B" w:rsidP="00E16A5B">
            <w:pPr>
              <w:rPr>
                <w:sz w:val="18"/>
              </w:rPr>
            </w:pPr>
            <w:r>
              <w:rPr>
                <w:sz w:val="18"/>
              </w:rPr>
              <w:t xml:space="preserve">- </w:t>
            </w:r>
            <w:proofErr w:type="spellStart"/>
            <w:r w:rsidRPr="008D59EE">
              <w:rPr>
                <w:sz w:val="18"/>
              </w:rPr>
              <w:t>Xml</w:t>
            </w:r>
            <w:proofErr w:type="spellEnd"/>
            <w:r w:rsidRPr="008D59EE">
              <w:rPr>
                <w:sz w:val="18"/>
              </w:rPr>
              <w:t xml:space="preserve"> permite importar relações – estrutura hierárquica, ao contrário de CSV; </w:t>
            </w:r>
          </w:p>
        </w:tc>
        <w:tc>
          <w:tcPr>
            <w:tcW w:w="1778" w:type="dxa"/>
          </w:tcPr>
          <w:p w14:paraId="1B9693FB" w14:textId="77777777" w:rsidR="00E16A5B" w:rsidRDefault="00E16A5B" w:rsidP="00E16A5B">
            <w:pPr>
              <w:rPr>
                <w:b/>
              </w:rPr>
            </w:pPr>
            <w:proofErr w:type="spellStart"/>
            <w:r>
              <w:rPr>
                <w:b/>
              </w:rPr>
              <w:t>Xml</w:t>
            </w:r>
            <w:proofErr w:type="spellEnd"/>
          </w:p>
        </w:tc>
      </w:tr>
      <w:tr w:rsidR="00E16A5B" w14:paraId="2AC21F1A" w14:textId="77777777" w:rsidTr="00E16A5B">
        <w:tc>
          <w:tcPr>
            <w:tcW w:w="2205" w:type="dxa"/>
            <w:shd w:val="clear" w:color="auto" w:fill="A8D08D" w:themeFill="accent6" w:themeFillTint="99"/>
          </w:tcPr>
          <w:p w14:paraId="77244802" w14:textId="77777777" w:rsidR="00E16A5B" w:rsidRDefault="00E16A5B" w:rsidP="00E16A5B">
            <w:pPr>
              <w:rPr>
                <w:b/>
              </w:rPr>
            </w:pPr>
            <w:r>
              <w:rPr>
                <w:b/>
              </w:rPr>
              <w:t>Menor probabilidade de corrupção dos dados – suporta Unicode, ñ havendo problemas (erros de codificação) com caracteres especiais</w:t>
            </w:r>
          </w:p>
        </w:tc>
        <w:tc>
          <w:tcPr>
            <w:tcW w:w="2292" w:type="dxa"/>
            <w:shd w:val="clear" w:color="auto" w:fill="FF7C80"/>
          </w:tcPr>
          <w:p w14:paraId="45EB753B" w14:textId="77777777" w:rsidR="00E16A5B" w:rsidRDefault="00E16A5B" w:rsidP="00E16A5B">
            <w:pPr>
              <w:rPr>
                <w:b/>
              </w:rPr>
            </w:pPr>
            <w:r>
              <w:rPr>
                <w:b/>
              </w:rPr>
              <w:t>Maior probabilidade de corrupção dos dados – ambiguidade na codificação de vírgulas p/</w:t>
            </w:r>
            <w:proofErr w:type="spellStart"/>
            <w:r>
              <w:rPr>
                <w:b/>
              </w:rPr>
              <w:t>ex</w:t>
            </w:r>
            <w:proofErr w:type="spellEnd"/>
          </w:p>
        </w:tc>
        <w:tc>
          <w:tcPr>
            <w:tcW w:w="2219" w:type="dxa"/>
          </w:tcPr>
          <w:p w14:paraId="74FD1FB0" w14:textId="77777777" w:rsidR="00E16A5B" w:rsidRDefault="00E16A5B" w:rsidP="00E16A5B">
            <w:pPr>
              <w:rPr>
                <w:b/>
              </w:rPr>
            </w:pPr>
            <w:r w:rsidRPr="00F40EAA">
              <w:rPr>
                <w:sz w:val="18"/>
              </w:rPr>
              <w:t xml:space="preserve">- Com CSV, os dados não devem conter caracteres especiais, vírgulas, </w:t>
            </w:r>
            <w:proofErr w:type="spellStart"/>
            <w:r w:rsidRPr="00FC31E3">
              <w:rPr>
                <w:i/>
                <w:sz w:val="18"/>
              </w:rPr>
              <w:t>varchar</w:t>
            </w:r>
            <w:proofErr w:type="spellEnd"/>
            <w:r w:rsidRPr="00F40EAA">
              <w:rPr>
                <w:sz w:val="18"/>
              </w:rPr>
              <w:t xml:space="preserve"> sem </w:t>
            </w:r>
            <w:proofErr w:type="spellStart"/>
            <w:r w:rsidRPr="00FC31E3">
              <w:rPr>
                <w:i/>
                <w:sz w:val="18"/>
              </w:rPr>
              <w:t>tab</w:t>
            </w:r>
            <w:proofErr w:type="spellEnd"/>
            <w:r w:rsidRPr="00F40EAA">
              <w:rPr>
                <w:sz w:val="18"/>
              </w:rPr>
              <w:t xml:space="preserve"> </w:t>
            </w:r>
            <w:proofErr w:type="spellStart"/>
            <w:r w:rsidRPr="00F40EAA">
              <w:rPr>
                <w:sz w:val="18"/>
              </w:rPr>
              <w:t>etc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778" w:type="dxa"/>
          </w:tcPr>
          <w:p w14:paraId="2DB5992D" w14:textId="77777777" w:rsidR="00E16A5B" w:rsidRDefault="00E16A5B" w:rsidP="00E16A5B">
            <w:pPr>
              <w:rPr>
                <w:b/>
              </w:rPr>
            </w:pPr>
            <w:proofErr w:type="spellStart"/>
            <w:r>
              <w:rPr>
                <w:b/>
              </w:rPr>
              <w:t>Xml</w:t>
            </w:r>
            <w:proofErr w:type="spellEnd"/>
          </w:p>
        </w:tc>
      </w:tr>
      <w:tr w:rsidR="00E16A5B" w14:paraId="361F31DE" w14:textId="77777777" w:rsidTr="00E16A5B">
        <w:tc>
          <w:tcPr>
            <w:tcW w:w="2205" w:type="dxa"/>
            <w:shd w:val="clear" w:color="auto" w:fill="A8D08D" w:themeFill="accent6" w:themeFillTint="99"/>
          </w:tcPr>
          <w:p w14:paraId="742FF46B" w14:textId="77777777" w:rsidR="00E16A5B" w:rsidRDefault="00E16A5B" w:rsidP="00E16A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  <w:r>
              <w:rPr>
                <w:b/>
              </w:rPr>
              <w:t>P</w:t>
            </w:r>
            <w:r w:rsidRPr="00426996">
              <w:rPr>
                <w:b/>
              </w:rPr>
              <w:t>ossui vários níveis de validação e proteção de análise, portanto, uma entrada de dados inválida torna</w:t>
            </w:r>
            <w:r>
              <w:rPr>
                <w:b/>
              </w:rPr>
              <w:t xml:space="preserve">-se </w:t>
            </w:r>
            <w:r w:rsidRPr="00426996">
              <w:rPr>
                <w:b/>
              </w:rPr>
              <w:t>óbvia muito mais cedo.</w:t>
            </w:r>
          </w:p>
        </w:tc>
        <w:tc>
          <w:tcPr>
            <w:tcW w:w="2292" w:type="dxa"/>
            <w:shd w:val="clear" w:color="auto" w:fill="FF7C80"/>
          </w:tcPr>
          <w:p w14:paraId="6EC0B41D" w14:textId="77777777" w:rsidR="00E16A5B" w:rsidRDefault="00E16A5B" w:rsidP="00E16A5B">
            <w:pPr>
              <w:rPr>
                <w:b/>
              </w:rPr>
            </w:pPr>
            <w:r>
              <w:rPr>
                <w:b/>
              </w:rPr>
              <w:t>Menor nível de validação dos dados</w:t>
            </w:r>
          </w:p>
        </w:tc>
        <w:tc>
          <w:tcPr>
            <w:tcW w:w="2219" w:type="dxa"/>
          </w:tcPr>
          <w:p w14:paraId="71CAB77D" w14:textId="77777777" w:rsidR="00E16A5B" w:rsidRDefault="00E16A5B" w:rsidP="00E16A5B">
            <w:pPr>
              <w:rPr>
                <w:b/>
              </w:rPr>
            </w:pPr>
          </w:p>
        </w:tc>
        <w:tc>
          <w:tcPr>
            <w:tcW w:w="1778" w:type="dxa"/>
          </w:tcPr>
          <w:p w14:paraId="08EE3977" w14:textId="77777777" w:rsidR="00E16A5B" w:rsidRDefault="00E16A5B" w:rsidP="00E16A5B">
            <w:pPr>
              <w:rPr>
                <w:b/>
              </w:rPr>
            </w:pPr>
            <w:proofErr w:type="spellStart"/>
            <w:r>
              <w:rPr>
                <w:b/>
              </w:rPr>
              <w:t>Xm</w:t>
            </w:r>
            <w:bookmarkStart w:id="0" w:name="_GoBack"/>
            <w:bookmarkEnd w:id="0"/>
            <w:r>
              <w:rPr>
                <w:b/>
              </w:rPr>
              <w:t>l</w:t>
            </w:r>
            <w:proofErr w:type="spellEnd"/>
          </w:p>
        </w:tc>
      </w:tr>
      <w:tr w:rsidR="00E16A5B" w14:paraId="2081B65B" w14:textId="77777777" w:rsidTr="00E16A5B">
        <w:tc>
          <w:tcPr>
            <w:tcW w:w="2205" w:type="dxa"/>
            <w:shd w:val="clear" w:color="auto" w:fill="A8D08D" w:themeFill="accent6" w:themeFillTint="99"/>
          </w:tcPr>
          <w:p w14:paraId="65C8EEDB" w14:textId="77777777" w:rsidR="00E16A5B" w:rsidRDefault="00E16A5B" w:rsidP="00E16A5B">
            <w:pPr>
              <w:rPr>
                <w:b/>
              </w:rPr>
            </w:pPr>
            <w:r>
              <w:rPr>
                <w:b/>
              </w:rPr>
              <w:t>Maior facilidade de leitura, pois maior estruturação.</w:t>
            </w:r>
          </w:p>
        </w:tc>
        <w:tc>
          <w:tcPr>
            <w:tcW w:w="2292" w:type="dxa"/>
            <w:shd w:val="clear" w:color="auto" w:fill="FF7C80"/>
          </w:tcPr>
          <w:p w14:paraId="68804643" w14:textId="77777777" w:rsidR="00E16A5B" w:rsidRPr="004930DF" w:rsidRDefault="00E16A5B" w:rsidP="00E16A5B">
            <w:pPr>
              <w:rPr>
                <w:b/>
              </w:rPr>
            </w:pPr>
            <w:r w:rsidRPr="004930DF">
              <w:rPr>
                <w:b/>
              </w:rPr>
              <w:t xml:space="preserve">Mais difícil de ler pelo humano, menos estruturado que CSV; </w:t>
            </w:r>
          </w:p>
        </w:tc>
        <w:tc>
          <w:tcPr>
            <w:tcW w:w="2219" w:type="dxa"/>
          </w:tcPr>
          <w:p w14:paraId="517A24BB" w14:textId="77777777" w:rsidR="00E16A5B" w:rsidRDefault="00E16A5B" w:rsidP="00E16A5B">
            <w:pPr>
              <w:rPr>
                <w:sz w:val="18"/>
              </w:rPr>
            </w:pPr>
            <w:r w:rsidRPr="004930DF">
              <w:rPr>
                <w:sz w:val="18"/>
              </w:rPr>
              <w:t>Não é relevante do ponto de vista da BD. Apenas do ponto de vista humano</w:t>
            </w:r>
            <w:r>
              <w:rPr>
                <w:sz w:val="18"/>
              </w:rPr>
              <w:t>.</w:t>
            </w:r>
          </w:p>
          <w:p w14:paraId="1C14581A" w14:textId="1F60B22B" w:rsidR="00FE259E" w:rsidRDefault="00FE259E" w:rsidP="00E16A5B">
            <w:pPr>
              <w:rPr>
                <w:b/>
              </w:rPr>
            </w:pPr>
          </w:p>
        </w:tc>
        <w:tc>
          <w:tcPr>
            <w:tcW w:w="1778" w:type="dxa"/>
          </w:tcPr>
          <w:p w14:paraId="5384962A" w14:textId="1217B074" w:rsidR="00E16A5B" w:rsidRDefault="00FE259E" w:rsidP="00E16A5B">
            <w:pPr>
              <w:rPr>
                <w:b/>
              </w:rPr>
            </w:pPr>
            <w:proofErr w:type="spellStart"/>
            <w:r>
              <w:rPr>
                <w:b/>
              </w:rPr>
              <w:t>Xml</w:t>
            </w:r>
            <w:proofErr w:type="spellEnd"/>
            <w:r w:rsidR="005209B7">
              <w:rPr>
                <w:b/>
              </w:rPr>
              <w:t xml:space="preserve">. </w:t>
            </w:r>
            <w:r w:rsidR="006D2540" w:rsidRPr="00A94C3A">
              <w:rPr>
                <w:sz w:val="18"/>
              </w:rPr>
              <w:t xml:space="preserve">O humano </w:t>
            </w:r>
            <w:r w:rsidR="000B2D13" w:rsidRPr="00A94C3A">
              <w:rPr>
                <w:sz w:val="18"/>
              </w:rPr>
              <w:t xml:space="preserve">poderá consultar a </w:t>
            </w:r>
            <w:r w:rsidR="00656DD1" w:rsidRPr="00A94C3A">
              <w:rPr>
                <w:sz w:val="18"/>
              </w:rPr>
              <w:t>BD, mas será principalmente a BD que</w:t>
            </w:r>
            <w:r w:rsidR="008935A4" w:rsidRPr="00A94C3A">
              <w:rPr>
                <w:sz w:val="18"/>
              </w:rPr>
              <w:t xml:space="preserve"> utilizará </w:t>
            </w:r>
            <w:r w:rsidR="00A94C3A" w:rsidRPr="00A94C3A">
              <w:rPr>
                <w:sz w:val="18"/>
              </w:rPr>
              <w:t>o ficheiro.</w:t>
            </w:r>
          </w:p>
        </w:tc>
      </w:tr>
      <w:tr w:rsidR="00E16A5B" w14:paraId="0BD059FB" w14:textId="77777777" w:rsidTr="00E16A5B">
        <w:tc>
          <w:tcPr>
            <w:tcW w:w="2205" w:type="dxa"/>
            <w:tcBorders>
              <w:bottom w:val="single" w:sz="4" w:space="0" w:color="auto"/>
            </w:tcBorders>
            <w:shd w:val="clear" w:color="auto" w:fill="A8D08D" w:themeFill="accent6" w:themeFillTint="99"/>
          </w:tcPr>
          <w:p w14:paraId="2B3D8685" w14:textId="77777777" w:rsidR="00E16A5B" w:rsidRDefault="00E16A5B" w:rsidP="00E16A5B">
            <w:pPr>
              <w:rPr>
                <w:b/>
              </w:rPr>
            </w:pPr>
            <w:r>
              <w:rPr>
                <w:b/>
              </w:rPr>
              <w:t>Maior flexibilidade</w:t>
            </w:r>
          </w:p>
        </w:tc>
        <w:tc>
          <w:tcPr>
            <w:tcW w:w="2292" w:type="dxa"/>
            <w:shd w:val="clear" w:color="auto" w:fill="FF7C80"/>
          </w:tcPr>
          <w:p w14:paraId="725E5E67" w14:textId="77777777" w:rsidR="00E16A5B" w:rsidRDefault="00E16A5B" w:rsidP="00E16A5B">
            <w:pPr>
              <w:rPr>
                <w:b/>
              </w:rPr>
            </w:pPr>
            <w:r>
              <w:rPr>
                <w:b/>
              </w:rPr>
              <w:t>Menor Flexibilidade</w:t>
            </w:r>
          </w:p>
        </w:tc>
        <w:tc>
          <w:tcPr>
            <w:tcW w:w="2219" w:type="dxa"/>
          </w:tcPr>
          <w:p w14:paraId="4E6FACEB" w14:textId="0E2FD0AD" w:rsidR="002761F7" w:rsidRDefault="002761F7" w:rsidP="00E16A5B">
            <w:pPr>
              <w:rPr>
                <w:sz w:val="18"/>
              </w:rPr>
            </w:pPr>
            <w:r>
              <w:rPr>
                <w:sz w:val="18"/>
              </w:rPr>
              <w:t>Pelas razões anteriormente apontadas</w:t>
            </w:r>
          </w:p>
          <w:p w14:paraId="5B65351E" w14:textId="54B3A98C" w:rsidR="002761F7" w:rsidRDefault="002761F7" w:rsidP="00E16A5B">
            <w:pPr>
              <w:rPr>
                <w:sz w:val="18"/>
              </w:rPr>
            </w:pPr>
            <w:r>
              <w:rPr>
                <w:sz w:val="18"/>
              </w:rPr>
              <w:t>+</w:t>
            </w:r>
          </w:p>
          <w:p w14:paraId="29587733" w14:textId="6A65620E" w:rsidR="00E16A5B" w:rsidRDefault="00E16A5B" w:rsidP="00E16A5B">
            <w:pPr>
              <w:rPr>
                <w:b/>
              </w:rPr>
            </w:pPr>
            <w:r>
              <w:rPr>
                <w:sz w:val="18"/>
              </w:rPr>
              <w:t xml:space="preserve">- Em tabelas com diferente número de colunas, </w:t>
            </w:r>
            <w:proofErr w:type="spellStart"/>
            <w:r>
              <w:rPr>
                <w:sz w:val="18"/>
              </w:rPr>
              <w:t>Xml</w:t>
            </w:r>
            <w:proofErr w:type="spellEnd"/>
            <w:r>
              <w:rPr>
                <w:sz w:val="18"/>
              </w:rPr>
              <w:t xml:space="preserve"> é mais </w:t>
            </w:r>
            <w:proofErr w:type="gramStart"/>
            <w:r>
              <w:rPr>
                <w:sz w:val="18"/>
              </w:rPr>
              <w:t>seguro .</w:t>
            </w:r>
            <w:proofErr w:type="gramEnd"/>
            <w:r>
              <w:rPr>
                <w:sz w:val="18"/>
              </w:rPr>
              <w:t xml:space="preserve"> maior probabilidade de manter a consistência dos dados.</w:t>
            </w:r>
          </w:p>
        </w:tc>
        <w:tc>
          <w:tcPr>
            <w:tcW w:w="1778" w:type="dxa"/>
          </w:tcPr>
          <w:p w14:paraId="41E1BB04" w14:textId="77777777" w:rsidR="00E16A5B" w:rsidRDefault="00E16A5B" w:rsidP="00E16A5B">
            <w:pPr>
              <w:rPr>
                <w:b/>
              </w:rPr>
            </w:pPr>
            <w:proofErr w:type="spellStart"/>
            <w:r>
              <w:rPr>
                <w:b/>
              </w:rPr>
              <w:t>Xml</w:t>
            </w:r>
            <w:proofErr w:type="spellEnd"/>
          </w:p>
        </w:tc>
      </w:tr>
      <w:tr w:rsidR="00E16A5B" w14:paraId="77C3F88E" w14:textId="77777777" w:rsidTr="00E16A5B">
        <w:tc>
          <w:tcPr>
            <w:tcW w:w="6716" w:type="dxa"/>
            <w:gridSpan w:val="3"/>
            <w:shd w:val="clear" w:color="auto" w:fill="D0CECE" w:themeFill="background2" w:themeFillShade="E6"/>
          </w:tcPr>
          <w:p w14:paraId="53189746" w14:textId="77777777" w:rsidR="00E16A5B" w:rsidRDefault="00E16A5B" w:rsidP="00E16A5B">
            <w:pPr>
              <w:jc w:val="center"/>
              <w:rPr>
                <w:b/>
              </w:rPr>
            </w:pPr>
            <w:r>
              <w:rPr>
                <w:b/>
              </w:rPr>
              <w:t>Escolha</w:t>
            </w:r>
          </w:p>
        </w:tc>
        <w:tc>
          <w:tcPr>
            <w:tcW w:w="1778" w:type="dxa"/>
            <w:shd w:val="clear" w:color="auto" w:fill="D0CECE" w:themeFill="background2" w:themeFillShade="E6"/>
          </w:tcPr>
          <w:p w14:paraId="71702EE5" w14:textId="77777777" w:rsidR="00E16A5B" w:rsidRDefault="00E16A5B" w:rsidP="00E16A5B">
            <w:pPr>
              <w:jc w:val="center"/>
              <w:rPr>
                <w:b/>
              </w:rPr>
            </w:pPr>
          </w:p>
        </w:tc>
      </w:tr>
      <w:tr w:rsidR="00E16A5B" w14:paraId="69C0619A" w14:textId="77777777" w:rsidTr="00E16A5B">
        <w:tc>
          <w:tcPr>
            <w:tcW w:w="2205" w:type="dxa"/>
          </w:tcPr>
          <w:p w14:paraId="3423590C" w14:textId="77777777" w:rsidR="00E16A5B" w:rsidRDefault="00E16A5B" w:rsidP="00E16A5B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2292" w:type="dxa"/>
          </w:tcPr>
          <w:p w14:paraId="4B1BE5C5" w14:textId="77777777" w:rsidR="00E16A5B" w:rsidRDefault="00E16A5B" w:rsidP="00E16A5B">
            <w:pPr>
              <w:rPr>
                <w:b/>
              </w:rPr>
            </w:pPr>
          </w:p>
        </w:tc>
        <w:tc>
          <w:tcPr>
            <w:tcW w:w="2219" w:type="dxa"/>
          </w:tcPr>
          <w:p w14:paraId="084A8A31" w14:textId="77777777" w:rsidR="00E16A5B" w:rsidRDefault="00E16A5B" w:rsidP="00E16A5B">
            <w:pPr>
              <w:rPr>
                <w:b/>
              </w:rPr>
            </w:pPr>
          </w:p>
        </w:tc>
        <w:tc>
          <w:tcPr>
            <w:tcW w:w="1778" w:type="dxa"/>
          </w:tcPr>
          <w:p w14:paraId="2EA42230" w14:textId="77777777" w:rsidR="00E16A5B" w:rsidRDefault="00E16A5B" w:rsidP="00E16A5B">
            <w:pPr>
              <w:rPr>
                <w:b/>
              </w:rPr>
            </w:pPr>
          </w:p>
        </w:tc>
      </w:tr>
    </w:tbl>
    <w:p w14:paraId="146D4CCE" w14:textId="77777777" w:rsidR="00F83FFB" w:rsidRPr="00E16A5B" w:rsidRDefault="00E16A5B" w:rsidP="00E16A5B">
      <w:pPr>
        <w:jc w:val="center"/>
        <w:rPr>
          <w:b/>
          <w:sz w:val="24"/>
        </w:rPr>
      </w:pPr>
      <w:r w:rsidRPr="00E16A5B">
        <w:rPr>
          <w:b/>
          <w:sz w:val="24"/>
        </w:rPr>
        <w:t>Razões para escolha do formato de ficheiro XML em detrimento do CSV</w:t>
      </w:r>
    </w:p>
    <w:sectPr w:rsidR="00F83FFB" w:rsidRPr="00E16A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A5B"/>
    <w:rsid w:val="000B2D13"/>
    <w:rsid w:val="002761F7"/>
    <w:rsid w:val="005209B7"/>
    <w:rsid w:val="00586E95"/>
    <w:rsid w:val="00656DD1"/>
    <w:rsid w:val="006D2540"/>
    <w:rsid w:val="008935A4"/>
    <w:rsid w:val="00A94C3A"/>
    <w:rsid w:val="00AB29A4"/>
    <w:rsid w:val="00E16A5B"/>
    <w:rsid w:val="00EF6F71"/>
    <w:rsid w:val="00F83FFB"/>
    <w:rsid w:val="00FE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9867F"/>
  <w15:chartTrackingRefBased/>
  <w15:docId w15:val="{B56EFCA1-A2D0-4D6D-8EC5-2685D0FC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6A5B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E16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310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Teixeira</dc:creator>
  <cp:keywords/>
  <dc:description/>
  <cp:lastModifiedBy>Elsa Palma Teixeira</cp:lastModifiedBy>
  <cp:revision>12</cp:revision>
  <dcterms:created xsi:type="dcterms:W3CDTF">2019-03-08T19:23:00Z</dcterms:created>
  <dcterms:modified xsi:type="dcterms:W3CDTF">2019-03-09T13:29:00Z</dcterms:modified>
</cp:coreProperties>
</file>