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RenovAtlas: estimativa do potencial de geração de energia renovável híbrida na Paraíba com aprendizado de máquina</w:t>
      </w:r>
    </w:p>
    <w:p>
      <w:pPr>
        <w:jc w:val="center"/>
      </w:pPr>
      <w:r>
        <w:rPr>
          <w:b/>
          <w:sz w:val="24"/>
        </w:rPr>
        <w:t>Guilherme Cardozo de Castro Melo, Henrique Lobo Queiroz Guimarães, Rodrigo Leal Marques</w:t>
      </w:r>
    </w:p>
    <w:p>
      <w:pPr>
        <w:jc w:val="center"/>
      </w:pPr>
      <w:r>
        <w:rPr>
          <w:b w:val="0"/>
          <w:sz w:val="24"/>
        </w:rPr>
        <w:t>CESAR School</w:t>
      </w:r>
    </w:p>
    <w:p>
      <w:pPr>
        <w:jc w:val="center"/>
      </w:pPr>
      <w:r>
        <w:rPr>
          <w:b w:val="0"/>
          <w:sz w:val="24"/>
        </w:rPr>
        <w:t>Recife, PE, Brasil</w:t>
      </w:r>
    </w:p>
    <w:p>
      <w:pPr>
        <w:jc w:val="center"/>
      </w:pPr>
      <w:r>
        <w:rPr>
          <w:rFonts w:ascii="Courier New" w:hAnsi="Courier New"/>
          <w:b w:val="0"/>
          <w:sz w:val="20"/>
        </w:rPr>
        <w:t>guigao.cardozo@gmail.com</w:t>
      </w:r>
    </w:p>
    <w:p/>
    <w:p>
      <w:pPr>
        <w:ind w:left="454" w:right="454"/>
      </w:pPr>
      <w:r>
        <w:rPr>
          <w:b/>
        </w:rPr>
        <w:t xml:space="preserve">Resumo. </w:t>
      </w:r>
      <w:r>
        <w:t>Este trabalho reproduz e estende o artigo de Ferreira et al. (2023), que propõe o índice IP-PB para avaliar o potencial de geração de energia renovável (solar, eólica e híbrida) nos municípios da Paraíba. A partir de dados públicos da NASA POWER, do INMET e do IBGE, foram comparados os métodos de interpolação IDW e Kriging e cinco modelos de aprendizado de máquina (KNN, Árvore de Decisão, Random Forest, AdaBoost e Multilayer Perceptron) para estimar a velocidade do vento e a radiação solar a partir de variáveis espaciais. Como contribuição, foram acrescentadas covariáveis físicas (elevação e distância à costa) e um índice de complementaridade temporal entre vento e sol. A solução é disponibilizada em um painel interativo, com rastreamento de experimentos no MLflow e ambiente reproduzível em Docker.</w:t>
      </w:r>
    </w:p>
    <w:p/>
    <w:p>
      <w:pPr>
        <w:ind w:left="454" w:right="454"/>
      </w:pPr>
      <w:r>
        <w:rPr>
          <w:b/>
        </w:rPr>
        <w:t xml:space="preserve">Abstract. </w:t>
      </w:r>
      <w:r>
        <w:t>This work reproduces and extends the paper by Ferreira et al. (2023), which proposes the IP-PB index to evaluate renewable generation potential (solar, wind and hybrid) across the municipalities of Paraiba, Brazil. Using public data from NASA POWER, INMET and IBGE, the IDW and Kriging interpolation methods and five machine learning models (KNN, Decision Tree, Random Forest, AdaBoost and Multilayer Perceptron) were compared to estimate wind speed and solar radiation from spatial features. As a contribution, physical covariates (elevation and distance to the coast) and a temporal complementarity index between wind and sun were added. The solution is delivered as an interactive dashboard, with experiment tracking in MLflow and a reproducible environment in Docker.</w:t>
      </w:r>
    </w:p>
    <w:p>
      <w:pPr>
        <w:spacing w:before="240"/>
      </w:pPr>
      <w:r>
        <w:rPr>
          <w:b/>
          <w:sz w:val="26"/>
        </w:rPr>
        <w:t>1. Introdução</w:t>
      </w:r>
    </w:p>
    <w:p>
      <w:pPr>
        <w:jc w:val="both"/>
      </w:pPr>
      <w:r>
        <w:t>A geração de energia renovável depende do conhecimento do recurso disponível em cada local. O artigo de Ferreira et al. (2023) propõe o índice IP-PB, que ranqueia os municípios da Paraíba quanto ao potencial de geração solar, eólica e híbrida, a partir de dados climáticos interpolados no espaço. Este projeto, desenvolvido na disciplina Machine Learning I da CESAR School, tem dois objetivos: reproduzir o artigo a partir de dados públicos e contribuir com técnicas de aprendizado de máquina. A solução resultante foi batizada de RenovAtlas.</w:t>
      </w:r>
    </w:p>
    <w:p>
      <w:pPr>
        <w:jc w:val="both"/>
      </w:pPr>
      <w:r>
        <w:t>A reprodução cobre toda a cadeia do artigo: coleta de dados, comparação de métodos de interpolação, construção de um mapa de alta resolução e cálculo do índice. A contribuição acrescenta modelos de aprendizado de máquina com covariáveis físicas e um índice de complementaridade temporal entre vento e sol, além de um painel interativo, rastreamento de experimentos e conteinerização.</w:t>
      </w:r>
    </w:p>
    <w:p>
      <w:pPr>
        <w:spacing w:before="240"/>
      </w:pPr>
      <w:r>
        <w:rPr>
          <w:b/>
          <w:sz w:val="26"/>
        </w:rPr>
        <w:t>2. Materiais e Métodos</w:t>
      </w:r>
    </w:p>
    <w:p>
      <w:pPr>
        <w:jc w:val="both"/>
      </w:pPr>
      <w:r>
        <w:t>Os dados vêm de três fontes públicas. A NASA POWER fornece séries diárias de velocidade do vento a 10 m e de radiação solar, em uma grade de 0,5 grau, no período de 1985 a 2022 (80 pontos coletados). O INMET fornece dados horários de vento e radiação de 36 estações automáticas da Paraíba e estados vizinhos, de 2003 a 2022. O IBGE fornece o contorno dos 223 municípios da Paraíba.</w:t>
      </w:r>
    </w:p>
    <w:p>
      <w:pPr>
        <w:jc w:val="both"/>
      </w:pPr>
      <w:r>
        <w:t>Após a coleta, os dados passam por limpeza (remoção de valores fora de faixa), conversão de unidades e cálculo das médias históricas por ponto. A radiação do INMET é integrada nas horas de dia (das 5 às 18 horas, horário local) e convertida de kJ para kWh.</w:t>
      </w:r>
    </w:p>
    <w:p>
      <w:pPr>
        <w:spacing w:before="240"/>
      </w:pPr>
      <w:r>
        <w:rPr>
          <w:b/>
          <w:sz w:val="24"/>
        </w:rPr>
        <w:t>2.1. Interpolação e índice IP-PB</w:t>
      </w:r>
    </w:p>
    <w:p>
      <w:pPr>
        <w:jc w:val="both"/>
      </w:pPr>
      <w:r>
        <w:t>Foram comparados dois métodos de interpolação espacial: o IDW (inverso da distância) e o Kriging (variograma exponencial), usando os quatro vizinhos mais próximos, avaliados por validação cruzada do tipo leave-one-out. Com o melhor método foi construído um mapa de alta resolução de 0,05 grau, com cerca de 2016 pontos dentro da Paraíba. O índice IP-PB de cada município é a norma euclidiana dos valores normalizados de vento e radiação.</w:t>
      </w:r>
    </w:p>
    <w:p>
      <w:pPr>
        <w:spacing w:before="240"/>
      </w:pPr>
      <w:r>
        <w:rPr>
          <w:b/>
          <w:sz w:val="24"/>
        </w:rPr>
        <w:t>2.2. Modelos de aprendizado de máquina</w:t>
      </w:r>
    </w:p>
    <w:p>
      <w:pPr>
        <w:jc w:val="both"/>
      </w:pPr>
      <w:r>
        <w:t>A estimativa do vento e da radiação foi tratada como um problema de regressão, tendo como entradas a longitude, a latitude, a elevação do terreno e a distância até a costa. Foram treinados e comparados cinco modelos: KNN, Árvore de Decisão, Random Forest, AdaBoost e Multilayer Perceptron. A avaliação usou separação em treino e teste (holdout de 75% e 25%) e validação cruzada de cinco dobras dentro do GridSearchCV, que ajusta os hiperparâmetros de cada modelo. As métricas foram RMSE, MAE e R2. O GridSearchCV foi escolhido por causa do tamanho reduzido das grades de hiperparâmetros, o que torna a busca exaustiva viável.</w:t>
      </w:r>
    </w:p>
    <w:p>
      <w:pPr>
        <w:spacing w:before="240"/>
      </w:pPr>
      <w:r>
        <w:rPr>
          <w:b/>
          <w:sz w:val="24"/>
        </w:rPr>
        <w:t>2.3. Complementaridade temporal e MLOps</w:t>
      </w:r>
    </w:p>
    <w:p>
      <w:pPr>
        <w:jc w:val="both"/>
      </w:pPr>
      <w:r>
        <w:t>Para a geração híbrida, foi criado um índice de complementaridade temporal kappa, definido como (1 menos a correlação) dividido por 2, calculado entre os ciclos mensais de vento e de radiação. Valores altos indicam fontes que se completam ao longo do ano. O índice híbrido combina a magnitude do recurso com a complementaridade. Todo o treinamento é rastreado no MLflow (parâmetros, métricas, vários experimentos e modelos salvos). A solução é apresentada em um painel Streamlit e empacotada em um contêiner Docker.</w:t>
      </w:r>
    </w:p>
    <w:p>
      <w:pPr>
        <w:spacing w:before="240"/>
      </w:pPr>
      <w:r>
        <w:rPr>
          <w:b/>
          <w:sz w:val="26"/>
        </w:rPr>
        <w:t>3. Resultados</w:t>
      </w:r>
    </w:p>
    <w:p>
      <w:pPr>
        <w:jc w:val="both"/>
      </w:pPr>
      <w:r>
        <w:t>Na reprodução, o Kriging apresentou erro menor e R2 maior que o IDW em todas as comparações, o que confirma a escolha do método feita no artigo. A Tabela 1 mostra os resultados na base NASA.</w:t>
      </w:r>
    </w:p>
    <w:p>
      <w:pPr>
        <w:jc w:val="center"/>
      </w:pPr>
      <w:r>
        <w:rPr>
          <w:b/>
          <w:sz w:val="20"/>
        </w:rPr>
        <w:t>Tabela 1. Comparação entre IDW e Kriging na base NASA.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sz w:val="20"/>
              </w:rPr>
              <w:t>Variable</w:t>
            </w:r>
          </w:p>
        </w:tc>
        <w:tc>
          <w:tcPr>
            <w:tcW w:type="dxa" w:w="1768"/>
          </w:tcPr>
          <w:p>
            <w:r>
              <w:rPr>
                <w:b/>
                <w:sz w:val="20"/>
              </w:rPr>
              <w:t>Method</w:t>
            </w:r>
          </w:p>
        </w:tc>
        <w:tc>
          <w:tcPr>
            <w:tcW w:type="dxa" w:w="1768"/>
          </w:tcPr>
          <w:p>
            <w:r>
              <w:rPr>
                <w:b/>
                <w:sz w:val="20"/>
              </w:rPr>
              <w:t>RMSE</w:t>
            </w:r>
          </w:p>
        </w:tc>
        <w:tc>
          <w:tcPr>
            <w:tcW w:type="dxa" w:w="1768"/>
          </w:tcPr>
          <w:p>
            <w:r>
              <w:rPr>
                <w:b/>
                <w:sz w:val="20"/>
              </w:rPr>
              <w:t>MAE</w:t>
            </w:r>
          </w:p>
        </w:tc>
        <w:tc>
          <w:tcPr>
            <w:tcW w:type="dxa" w:w="1768"/>
          </w:tcPr>
          <w:p>
            <w:r>
              <w:rPr>
                <w:b/>
                <w:sz w:val="20"/>
              </w:rPr>
              <w:t>R2</w:t>
            </w:r>
          </w:p>
        </w:tc>
      </w:tr>
      <w:tr>
        <w:tc>
          <w:tcPr>
            <w:tcW w:type="dxa" w:w="1768"/>
          </w:tcPr>
          <w:p>
            <w:r>
              <w:rPr>
                <w:sz w:val="20"/>
              </w:rPr>
              <w:t>WIND_SPEED (m/s)</w:t>
            </w:r>
          </w:p>
        </w:tc>
        <w:tc>
          <w:tcPr>
            <w:tcW w:type="dxa" w:w="1768"/>
          </w:tcPr>
          <w:p>
            <w:r>
              <w:rPr>
                <w:sz w:val="20"/>
              </w:rPr>
              <w:t>IDW</w:t>
            </w:r>
          </w:p>
        </w:tc>
        <w:tc>
          <w:tcPr>
            <w:tcW w:type="dxa" w:w="1768"/>
          </w:tcPr>
          <w:p>
            <w:r>
              <w:rPr>
                <w:sz w:val="20"/>
              </w:rPr>
              <w:t>0.2722</w:t>
            </w:r>
          </w:p>
        </w:tc>
        <w:tc>
          <w:tcPr>
            <w:tcW w:type="dxa" w:w="1768"/>
          </w:tcPr>
          <w:p>
            <w:r>
              <w:rPr>
                <w:sz w:val="20"/>
              </w:rPr>
              <w:t>0.1977</w:t>
            </w:r>
          </w:p>
        </w:tc>
        <w:tc>
          <w:tcPr>
            <w:tcW w:type="dxa" w:w="1768"/>
          </w:tcPr>
          <w:p>
            <w:r>
              <w:rPr>
                <w:sz w:val="20"/>
              </w:rPr>
              <w:t>0.8734</w:t>
            </w:r>
          </w:p>
        </w:tc>
      </w:tr>
      <w:tr>
        <w:tc>
          <w:tcPr>
            <w:tcW w:type="dxa" w:w="1768"/>
          </w:tcPr>
          <w:p>
            <w:r>
              <w:rPr>
                <w:sz w:val="20"/>
              </w:rPr>
              <w:t>WIND_SPEED (m/s)</w:t>
            </w:r>
          </w:p>
        </w:tc>
        <w:tc>
          <w:tcPr>
            <w:tcW w:type="dxa" w:w="1768"/>
          </w:tcPr>
          <w:p>
            <w:r>
              <w:rPr>
                <w:sz w:val="20"/>
              </w:rPr>
              <w:t>KRIGING</w:t>
            </w:r>
          </w:p>
        </w:tc>
        <w:tc>
          <w:tcPr>
            <w:tcW w:type="dxa" w:w="1768"/>
          </w:tcPr>
          <w:p>
            <w:r>
              <w:rPr>
                <w:sz w:val="20"/>
              </w:rPr>
              <w:t>0.2449</w:t>
            </w:r>
          </w:p>
        </w:tc>
        <w:tc>
          <w:tcPr>
            <w:tcW w:type="dxa" w:w="1768"/>
          </w:tcPr>
          <w:p>
            <w:r>
              <w:rPr>
                <w:sz w:val="20"/>
              </w:rPr>
              <w:t>0.1804</w:t>
            </w:r>
          </w:p>
        </w:tc>
        <w:tc>
          <w:tcPr>
            <w:tcW w:type="dxa" w:w="1768"/>
          </w:tcPr>
          <w:p>
            <w:r>
              <w:rPr>
                <w:sz w:val="20"/>
              </w:rPr>
              <w:t>0.8975</w:t>
            </w:r>
          </w:p>
        </w:tc>
      </w:tr>
      <w:tr>
        <w:tc>
          <w:tcPr>
            <w:tcW w:type="dxa" w:w="1768"/>
          </w:tcPr>
          <w:p>
            <w:r>
              <w:rPr>
                <w:sz w:val="20"/>
              </w:rPr>
              <w:t>SOLAR_IRRAD (kWh/m2)</w:t>
            </w:r>
          </w:p>
        </w:tc>
        <w:tc>
          <w:tcPr>
            <w:tcW w:type="dxa" w:w="1768"/>
          </w:tcPr>
          <w:p>
            <w:r>
              <w:rPr>
                <w:sz w:val="20"/>
              </w:rPr>
              <w:t>IDW</w:t>
            </w:r>
          </w:p>
        </w:tc>
        <w:tc>
          <w:tcPr>
            <w:tcW w:type="dxa" w:w="1768"/>
          </w:tcPr>
          <w:p>
            <w:r>
              <w:rPr>
                <w:sz w:val="20"/>
              </w:rPr>
              <w:t>0.0857</w:t>
            </w:r>
          </w:p>
        </w:tc>
        <w:tc>
          <w:tcPr>
            <w:tcW w:type="dxa" w:w="1768"/>
          </w:tcPr>
          <w:p>
            <w:r>
              <w:rPr>
                <w:sz w:val="20"/>
              </w:rPr>
              <w:t>0.0652</w:t>
            </w:r>
          </w:p>
        </w:tc>
        <w:tc>
          <w:tcPr>
            <w:tcW w:type="dxa" w:w="1768"/>
          </w:tcPr>
          <w:p>
            <w:r>
              <w:rPr>
                <w:sz w:val="20"/>
              </w:rPr>
              <w:t>0.8328</w:t>
            </w:r>
          </w:p>
        </w:tc>
      </w:tr>
      <w:tr>
        <w:tc>
          <w:tcPr>
            <w:tcW w:type="dxa" w:w="1768"/>
          </w:tcPr>
          <w:p>
            <w:r>
              <w:rPr>
                <w:sz w:val="20"/>
              </w:rPr>
              <w:t>SOLAR_IRRAD (kWh/m2)</w:t>
            </w:r>
          </w:p>
        </w:tc>
        <w:tc>
          <w:tcPr>
            <w:tcW w:type="dxa" w:w="1768"/>
          </w:tcPr>
          <w:p>
            <w:r>
              <w:rPr>
                <w:sz w:val="20"/>
              </w:rPr>
              <w:t>KRIGING</w:t>
            </w:r>
          </w:p>
        </w:tc>
        <w:tc>
          <w:tcPr>
            <w:tcW w:type="dxa" w:w="1768"/>
          </w:tcPr>
          <w:p>
            <w:r>
              <w:rPr>
                <w:sz w:val="20"/>
              </w:rPr>
              <w:t>0.0855</w:t>
            </w:r>
          </w:p>
        </w:tc>
        <w:tc>
          <w:tcPr>
            <w:tcW w:type="dxa" w:w="1768"/>
          </w:tcPr>
          <w:p>
            <w:r>
              <w:rPr>
                <w:sz w:val="20"/>
              </w:rPr>
              <w:t>0.0660</w:t>
            </w:r>
          </w:p>
        </w:tc>
        <w:tc>
          <w:tcPr>
            <w:tcW w:type="dxa" w:w="1768"/>
          </w:tcPr>
          <w:p>
            <w:r>
              <w:rPr>
                <w:sz w:val="20"/>
              </w:rPr>
              <w:t>0.8335</w:t>
            </w:r>
          </w:p>
        </w:tc>
      </w:tr>
    </w:tbl>
    <w:p>
      <w:pPr>
        <w:jc w:val="both"/>
      </w:pPr>
      <w:r>
        <w:t>Os rankings de municípios reproduzem os padrões do artigo: melhor potencial solar no oeste do estado (regiões de Sousa-Cajazeiras e Patos), melhor potencial eólico na região de Campina Grande, e geração híbrida no eixo Campina Grande e Patos, com os municípios de Assunção, Junco do Seridó e Tenório coincidindo com o artigo.</w:t>
      </w:r>
    </w:p>
    <w:p>
      <w:pPr>
        <w:jc w:val="both"/>
      </w:pPr>
      <w:r>
        <w:t>Na contribuição, os modelos de aprendizado de máquina melhoraram a estimativa da radiação solar em relação ao Kriging, com destaque para o AdaBoost. A Tabela 2 resume a comparação dos modelos.</w:t>
      </w:r>
    </w:p>
    <w:p>
      <w:pPr>
        <w:jc w:val="center"/>
      </w:pPr>
      <w:r>
        <w:rPr>
          <w:b/>
          <w:sz w:val="20"/>
        </w:rPr>
        <w:t>Tabela 2. Comparação dos modelos de aprendizado de máquina (base NASA).</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sz w:val="20"/>
              </w:rPr>
              <w:t>target</w:t>
            </w:r>
          </w:p>
        </w:tc>
        <w:tc>
          <w:tcPr>
            <w:tcW w:type="dxa" w:w="2209"/>
          </w:tcPr>
          <w:p>
            <w:r>
              <w:rPr>
                <w:b/>
                <w:sz w:val="20"/>
              </w:rPr>
              <w:t>model</w:t>
            </w:r>
          </w:p>
        </w:tc>
        <w:tc>
          <w:tcPr>
            <w:tcW w:type="dxa" w:w="2209"/>
          </w:tcPr>
          <w:p>
            <w:r>
              <w:rPr>
                <w:b/>
                <w:sz w:val="20"/>
              </w:rPr>
              <w:t>test_rmse</w:t>
            </w:r>
          </w:p>
        </w:tc>
        <w:tc>
          <w:tcPr>
            <w:tcW w:type="dxa" w:w="2209"/>
          </w:tcPr>
          <w:p>
            <w:r>
              <w:rPr>
                <w:b/>
                <w:sz w:val="20"/>
              </w:rPr>
              <w:t>test_r2</w:t>
            </w:r>
          </w:p>
        </w:tc>
      </w:tr>
      <w:tr>
        <w:tc>
          <w:tcPr>
            <w:tcW w:type="dxa" w:w="2209"/>
          </w:tcPr>
          <w:p>
            <w:r>
              <w:rPr>
                <w:sz w:val="20"/>
              </w:rPr>
              <w:t>WIND_SPEED</w:t>
            </w:r>
          </w:p>
        </w:tc>
        <w:tc>
          <w:tcPr>
            <w:tcW w:type="dxa" w:w="2209"/>
          </w:tcPr>
          <w:p>
            <w:r>
              <w:rPr>
                <w:sz w:val="20"/>
              </w:rPr>
              <w:t>KNN</w:t>
            </w:r>
          </w:p>
        </w:tc>
        <w:tc>
          <w:tcPr>
            <w:tcW w:type="dxa" w:w="2209"/>
          </w:tcPr>
          <w:p>
            <w:r>
              <w:rPr>
                <w:sz w:val="20"/>
              </w:rPr>
              <w:t>0.5641</w:t>
            </w:r>
          </w:p>
        </w:tc>
        <w:tc>
          <w:tcPr>
            <w:tcW w:type="dxa" w:w="2209"/>
          </w:tcPr>
          <w:p>
            <w:r>
              <w:rPr>
                <w:sz w:val="20"/>
              </w:rPr>
              <w:t>0.5706</w:t>
            </w:r>
          </w:p>
        </w:tc>
      </w:tr>
      <w:tr>
        <w:tc>
          <w:tcPr>
            <w:tcW w:type="dxa" w:w="2209"/>
          </w:tcPr>
          <w:p>
            <w:r>
              <w:rPr>
                <w:sz w:val="20"/>
              </w:rPr>
              <w:t>WIND_SPEED</w:t>
            </w:r>
          </w:p>
        </w:tc>
        <w:tc>
          <w:tcPr>
            <w:tcW w:type="dxa" w:w="2209"/>
          </w:tcPr>
          <w:p>
            <w:r>
              <w:rPr>
                <w:sz w:val="20"/>
              </w:rPr>
              <w:t>DecisionTree</w:t>
            </w:r>
          </w:p>
        </w:tc>
        <w:tc>
          <w:tcPr>
            <w:tcW w:type="dxa" w:w="2209"/>
          </w:tcPr>
          <w:p>
            <w:r>
              <w:rPr>
                <w:sz w:val="20"/>
              </w:rPr>
              <w:t>0.6071</w:t>
            </w:r>
          </w:p>
        </w:tc>
        <w:tc>
          <w:tcPr>
            <w:tcW w:type="dxa" w:w="2209"/>
          </w:tcPr>
          <w:p>
            <w:r>
              <w:rPr>
                <w:sz w:val="20"/>
              </w:rPr>
              <w:t>0.5026</w:t>
            </w:r>
          </w:p>
        </w:tc>
      </w:tr>
      <w:tr>
        <w:tc>
          <w:tcPr>
            <w:tcW w:type="dxa" w:w="2209"/>
          </w:tcPr>
          <w:p>
            <w:r>
              <w:rPr>
                <w:sz w:val="20"/>
              </w:rPr>
              <w:t>WIND_SPEED</w:t>
            </w:r>
          </w:p>
        </w:tc>
        <w:tc>
          <w:tcPr>
            <w:tcW w:type="dxa" w:w="2209"/>
          </w:tcPr>
          <w:p>
            <w:r>
              <w:rPr>
                <w:sz w:val="20"/>
              </w:rPr>
              <w:t>RandomForest</w:t>
            </w:r>
          </w:p>
        </w:tc>
        <w:tc>
          <w:tcPr>
            <w:tcW w:type="dxa" w:w="2209"/>
          </w:tcPr>
          <w:p>
            <w:r>
              <w:rPr>
                <w:sz w:val="20"/>
              </w:rPr>
              <w:t>0.3685</w:t>
            </w:r>
          </w:p>
        </w:tc>
        <w:tc>
          <w:tcPr>
            <w:tcW w:type="dxa" w:w="2209"/>
          </w:tcPr>
          <w:p>
            <w:r>
              <w:rPr>
                <w:sz w:val="20"/>
              </w:rPr>
              <w:t>0.8168</w:t>
            </w:r>
          </w:p>
        </w:tc>
      </w:tr>
      <w:tr>
        <w:tc>
          <w:tcPr>
            <w:tcW w:type="dxa" w:w="2209"/>
          </w:tcPr>
          <w:p>
            <w:r>
              <w:rPr>
                <w:sz w:val="20"/>
              </w:rPr>
              <w:t>WIND_SPEED</w:t>
            </w:r>
          </w:p>
        </w:tc>
        <w:tc>
          <w:tcPr>
            <w:tcW w:type="dxa" w:w="2209"/>
          </w:tcPr>
          <w:p>
            <w:r>
              <w:rPr>
                <w:sz w:val="20"/>
              </w:rPr>
              <w:t>AdaBoost</w:t>
            </w:r>
          </w:p>
        </w:tc>
        <w:tc>
          <w:tcPr>
            <w:tcW w:type="dxa" w:w="2209"/>
          </w:tcPr>
          <w:p>
            <w:r>
              <w:rPr>
                <w:sz w:val="20"/>
              </w:rPr>
              <w:t>0.3290</w:t>
            </w:r>
          </w:p>
        </w:tc>
        <w:tc>
          <w:tcPr>
            <w:tcW w:type="dxa" w:w="2209"/>
          </w:tcPr>
          <w:p>
            <w:r>
              <w:rPr>
                <w:sz w:val="20"/>
              </w:rPr>
              <w:t>0.8539</w:t>
            </w:r>
          </w:p>
        </w:tc>
      </w:tr>
      <w:tr>
        <w:tc>
          <w:tcPr>
            <w:tcW w:type="dxa" w:w="2209"/>
          </w:tcPr>
          <w:p>
            <w:r>
              <w:rPr>
                <w:sz w:val="20"/>
              </w:rPr>
              <w:t>WIND_SPEED</w:t>
            </w:r>
          </w:p>
        </w:tc>
        <w:tc>
          <w:tcPr>
            <w:tcW w:type="dxa" w:w="2209"/>
          </w:tcPr>
          <w:p>
            <w:r>
              <w:rPr>
                <w:sz w:val="20"/>
              </w:rPr>
              <w:t>MLP</w:t>
            </w:r>
          </w:p>
        </w:tc>
        <w:tc>
          <w:tcPr>
            <w:tcW w:type="dxa" w:w="2209"/>
          </w:tcPr>
          <w:p>
            <w:r>
              <w:rPr>
                <w:sz w:val="20"/>
              </w:rPr>
              <w:t>0.3890</w:t>
            </w:r>
          </w:p>
        </w:tc>
        <w:tc>
          <w:tcPr>
            <w:tcW w:type="dxa" w:w="2209"/>
          </w:tcPr>
          <w:p>
            <w:r>
              <w:rPr>
                <w:sz w:val="20"/>
              </w:rPr>
              <w:t>0.7958</w:t>
            </w:r>
          </w:p>
        </w:tc>
      </w:tr>
      <w:tr>
        <w:tc>
          <w:tcPr>
            <w:tcW w:type="dxa" w:w="2209"/>
          </w:tcPr>
          <w:p>
            <w:r>
              <w:rPr>
                <w:sz w:val="20"/>
              </w:rPr>
              <w:t>SOLAR_IRRAD</w:t>
            </w:r>
          </w:p>
        </w:tc>
        <w:tc>
          <w:tcPr>
            <w:tcW w:type="dxa" w:w="2209"/>
          </w:tcPr>
          <w:p>
            <w:r>
              <w:rPr>
                <w:sz w:val="20"/>
              </w:rPr>
              <w:t>KNN</w:t>
            </w:r>
          </w:p>
        </w:tc>
        <w:tc>
          <w:tcPr>
            <w:tcW w:type="dxa" w:w="2209"/>
          </w:tcPr>
          <w:p>
            <w:r>
              <w:rPr>
                <w:sz w:val="20"/>
              </w:rPr>
              <w:t>0.1395</w:t>
            </w:r>
          </w:p>
        </w:tc>
        <w:tc>
          <w:tcPr>
            <w:tcW w:type="dxa" w:w="2209"/>
          </w:tcPr>
          <w:p>
            <w:r>
              <w:rPr>
                <w:sz w:val="20"/>
              </w:rPr>
              <w:t>0.3676</w:t>
            </w:r>
          </w:p>
        </w:tc>
      </w:tr>
      <w:tr>
        <w:tc>
          <w:tcPr>
            <w:tcW w:type="dxa" w:w="2209"/>
          </w:tcPr>
          <w:p>
            <w:r>
              <w:rPr>
                <w:sz w:val="20"/>
              </w:rPr>
              <w:t>SOLAR_IRRAD</w:t>
            </w:r>
          </w:p>
        </w:tc>
        <w:tc>
          <w:tcPr>
            <w:tcW w:type="dxa" w:w="2209"/>
          </w:tcPr>
          <w:p>
            <w:r>
              <w:rPr>
                <w:sz w:val="20"/>
              </w:rPr>
              <w:t>DecisionTree</w:t>
            </w:r>
          </w:p>
        </w:tc>
        <w:tc>
          <w:tcPr>
            <w:tcW w:type="dxa" w:w="2209"/>
          </w:tcPr>
          <w:p>
            <w:r>
              <w:rPr>
                <w:sz w:val="20"/>
              </w:rPr>
              <w:t>0.0947</w:t>
            </w:r>
          </w:p>
        </w:tc>
        <w:tc>
          <w:tcPr>
            <w:tcW w:type="dxa" w:w="2209"/>
          </w:tcPr>
          <w:p>
            <w:r>
              <w:rPr>
                <w:sz w:val="20"/>
              </w:rPr>
              <w:t>0.7089</w:t>
            </w:r>
          </w:p>
        </w:tc>
      </w:tr>
      <w:tr>
        <w:tc>
          <w:tcPr>
            <w:tcW w:type="dxa" w:w="2209"/>
          </w:tcPr>
          <w:p>
            <w:r>
              <w:rPr>
                <w:sz w:val="20"/>
              </w:rPr>
              <w:t>SOLAR_IRRAD</w:t>
            </w:r>
          </w:p>
        </w:tc>
        <w:tc>
          <w:tcPr>
            <w:tcW w:type="dxa" w:w="2209"/>
          </w:tcPr>
          <w:p>
            <w:r>
              <w:rPr>
                <w:sz w:val="20"/>
              </w:rPr>
              <w:t>RandomForest</w:t>
            </w:r>
          </w:p>
        </w:tc>
        <w:tc>
          <w:tcPr>
            <w:tcW w:type="dxa" w:w="2209"/>
          </w:tcPr>
          <w:p>
            <w:r>
              <w:rPr>
                <w:sz w:val="20"/>
              </w:rPr>
              <w:t>0.0738</w:t>
            </w:r>
          </w:p>
        </w:tc>
        <w:tc>
          <w:tcPr>
            <w:tcW w:type="dxa" w:w="2209"/>
          </w:tcPr>
          <w:p>
            <w:r>
              <w:rPr>
                <w:sz w:val="20"/>
              </w:rPr>
              <w:t>0.8232</w:t>
            </w:r>
          </w:p>
        </w:tc>
      </w:tr>
      <w:tr>
        <w:tc>
          <w:tcPr>
            <w:tcW w:type="dxa" w:w="2209"/>
          </w:tcPr>
          <w:p>
            <w:r>
              <w:rPr>
                <w:sz w:val="20"/>
              </w:rPr>
              <w:t>SOLAR_IRRAD</w:t>
            </w:r>
          </w:p>
        </w:tc>
        <w:tc>
          <w:tcPr>
            <w:tcW w:type="dxa" w:w="2209"/>
          </w:tcPr>
          <w:p>
            <w:r>
              <w:rPr>
                <w:sz w:val="20"/>
              </w:rPr>
              <w:t>AdaBoost</w:t>
            </w:r>
          </w:p>
        </w:tc>
        <w:tc>
          <w:tcPr>
            <w:tcW w:type="dxa" w:w="2209"/>
          </w:tcPr>
          <w:p>
            <w:r>
              <w:rPr>
                <w:sz w:val="20"/>
              </w:rPr>
              <w:t>0.0556</w:t>
            </w:r>
          </w:p>
        </w:tc>
        <w:tc>
          <w:tcPr>
            <w:tcW w:type="dxa" w:w="2209"/>
          </w:tcPr>
          <w:p>
            <w:r>
              <w:rPr>
                <w:sz w:val="20"/>
              </w:rPr>
              <w:t>0.8994</w:t>
            </w:r>
          </w:p>
        </w:tc>
      </w:tr>
      <w:tr>
        <w:tc>
          <w:tcPr>
            <w:tcW w:type="dxa" w:w="2209"/>
          </w:tcPr>
          <w:p>
            <w:r>
              <w:rPr>
                <w:sz w:val="20"/>
              </w:rPr>
              <w:t>SOLAR_IRRAD</w:t>
            </w:r>
          </w:p>
        </w:tc>
        <w:tc>
          <w:tcPr>
            <w:tcW w:type="dxa" w:w="2209"/>
          </w:tcPr>
          <w:p>
            <w:r>
              <w:rPr>
                <w:sz w:val="20"/>
              </w:rPr>
              <w:t>MLP</w:t>
            </w:r>
          </w:p>
        </w:tc>
        <w:tc>
          <w:tcPr>
            <w:tcW w:type="dxa" w:w="2209"/>
          </w:tcPr>
          <w:p>
            <w:r>
              <w:rPr>
                <w:sz w:val="20"/>
              </w:rPr>
              <w:t>0.2215</w:t>
            </w:r>
          </w:p>
        </w:tc>
        <w:tc>
          <w:tcPr>
            <w:tcW w:type="dxa" w:w="2209"/>
          </w:tcPr>
          <w:p>
            <w:r>
              <w:rPr>
                <w:sz w:val="20"/>
              </w:rPr>
              <w:t>-0.5938</w:t>
            </w:r>
          </w:p>
        </w:tc>
      </w:tr>
    </w:tbl>
    <w:p>
      <w:pPr>
        <w:jc w:val="both"/>
      </w:pPr>
      <w:r>
        <w:t>As covariáveis de elevação e distância à costa não trouxeram ganho consistente, efeito atribuído ao número pequeno de pontos, que favorece o sobreajuste. O índice de complementaridade variou de 0,09 a 0,75 e, ao ser incluído no índice híbrido, deslocou parte do potencial para o litoral, que apresenta melhor complementaridade entre vento e sol ao longo do ano.</w:t>
      </w:r>
    </w:p>
    <w:p>
      <w:pPr>
        <w:spacing w:before="240"/>
      </w:pPr>
      <w:r>
        <w:rPr>
          <w:b/>
          <w:sz w:val="26"/>
        </w:rPr>
        <w:t>4. Conclusão</w:t>
      </w:r>
    </w:p>
    <w:p>
      <w:pPr>
        <w:jc w:val="both"/>
      </w:pPr>
      <w:r>
        <w:t>Foi possível reproduzir o método do artigo a partir de dados públicos e estender a solução com aprendizado de máquina e com um índice de complementaridade temporal. A solução completa inclui análise exploratória, comparação de modelos com validação e ajuste de hiperparâmetros, rastreamento no MLflow, painel interativo e ambiente reproduzível em Docker. As principais limitações vêm do número reduzido de pontos. Como trabalho futuro, sugere-se ampliar a base de pontos e validar o índice contra dados de geração real.</w:t>
      </w:r>
    </w:p>
    <w:p>
      <w:pPr>
        <w:spacing w:before="240"/>
      </w:pPr>
      <w:r>
        <w:rPr>
          <w:b/>
          <w:sz w:val="26"/>
        </w:rPr>
        <w:t>Referências</w:t>
      </w:r>
    </w:p>
    <w:p>
      <w:pPr>
        <w:spacing w:before="120"/>
        <w:ind w:left="283" w:hanging="283"/>
      </w:pPr>
      <w:r>
        <w:t>Ferreira, M. M. et al. (2023) "A new index to evaluate renewable energy potential: A case study on solar, wind and hybrid generation in Northeast Brazil", Renewable Energy, v. 217, 119182.</w:t>
      </w:r>
    </w:p>
    <w:p>
      <w:pPr>
        <w:spacing w:before="120"/>
        <w:ind w:left="283" w:hanging="283"/>
      </w:pPr>
      <w:r>
        <w:t>NASA (2022) "NASA POWER: Prediction of Worldwide Energy Resources", https://power.larc.nasa.gov/.</w:t>
      </w:r>
    </w:p>
    <w:p>
      <w:pPr>
        <w:spacing w:before="120"/>
        <w:ind w:left="283" w:hanging="283"/>
      </w:pPr>
      <w:r>
        <w:t>INMET (2022) "Banco de dados meteorológicos do INMET", https://portal.inmet.gov.br/.</w:t>
      </w:r>
    </w:p>
    <w:p>
      <w:pPr>
        <w:spacing w:before="120"/>
        <w:ind w:left="283" w:hanging="283"/>
      </w:pPr>
      <w:r>
        <w:t>IBGE (2017) "Divisão Regional do Brasil", https://www.ibge.gov.br/.</w:t>
      </w:r>
    </w:p>
    <w:p>
      <w:pPr>
        <w:spacing w:before="120"/>
        <w:ind w:left="283" w:hanging="283"/>
      </w:pPr>
      <w:r>
        <w:t>Pedregosa, F. et al. (2011) "Scikit-learn: Machine Learning in Python", Journal of Machine Learning Research, v. 12, p. 2825-2830.</w:t>
      </w:r>
    </w:p>
    <w:sectPr w:rsidR="00FC693F" w:rsidRPr="0006063C" w:rsidSect="00034616">
      <w:pgSz w:w="12240" w:h="15840"/>
      <w:pgMar w:top="1984"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