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18"/>
        </w:rPr>
        <w:t>SALES QUALIFICATION</w:t>
      </w:r>
    </w:p>
    <w:p>
      <w:pPr>
        <w:spacing w:before="0" w:after="120"/>
      </w:pPr>
      <w:r>
        <w:rPr>
          <w:rFonts w:ascii="Calibri" w:hAnsi="Calibri"/>
          <w:b/>
          <w:color w:val="17324D"/>
          <w:sz w:val="56"/>
        </w:rPr>
        <w:t>Fit Call Playbook and Scripts</w:t>
      </w:r>
    </w:p>
    <w:p>
      <w:pPr>
        <w:spacing w:before="0" w:after="320"/>
      </w:pPr>
      <w:r>
        <w:rPr>
          <w:rFonts w:ascii="Calibri" w:hAnsi="Calibri"/>
          <w:color w:val="66717E"/>
          <w:sz w:val="26"/>
        </w:rPr>
        <w:t>A structured 30-minute decision call for one operational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Owner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Commercial Lead | assignment to be ratified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Duration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30 minutes | remote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Decision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Proceed / clarify before offer / do not proceed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Data rule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No identifying patient, participant, worker or sensitive information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E8F3EC"/>
          <w:left w:val="single" w:sz="2" w:space="0" w:color="E8F3EC"/>
          <w:bottom w:val="single" w:sz="2" w:space="0" w:color="E8F3EC"/>
          <w:right w:val="single" w:sz="2" w:space="0" w:color="E8F3EC"/>
          <w:insideH w:val="single" w:sz="2" w:space="0" w:color="E8F3EC"/>
          <w:insideV w:val="single" w:sz="2" w:space="0" w:color="E8F3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3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Call outcome: </w:t>
            </w:r>
            <w:r>
              <w:rPr>
                <w:rFonts w:ascii="Calibri" w:hAnsi="Calibri"/>
                <w:color w:val="20262E"/>
                <w:sz w:val="20"/>
              </w:rPr>
              <w:t>The fit call is successful when both parties can make a clear decision. It is not a free mini-diagnostic, solution design workshop or compliance review.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boundaries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Understand the business problem and the one workflow most likely to be in scope.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Test whether the Diagnostic can produce a useful decision within its fixed scope and evidence limits.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Confirm there is an accountable client owner, suitable participants and usable non-identifying evidence.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Explain the AUD 950 plus GST offer, inclusions, exclusions, timing and next step without pressure.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Decline or redirect work that requires implementation, formal assurance, regulated advice or unsafe data handling.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Do not diagnose on the call: </w:t>
            </w:r>
            <w:r>
              <w:rPr>
                <w:rFonts w:ascii="Calibri" w:hAnsi="Calibri"/>
                <w:color w:val="20262E"/>
                <w:sz w:val="20"/>
              </w:rPr>
              <w:t>Ask enough to qualify the engagement. Do not map the full workflow, recommend software, estimate savings, design controls or give compliance conclusions during the fit call.</w:t>
            </w:r>
          </w:p>
        </w:tc>
      </w:tr>
    </w:tbl>
    <w:p>
      <w:pPr>
        <w:spacing w:after="20"/>
      </w:pPr>
    </w:p>
    <w:p>
      <w:pPr>
        <w:pStyle w:val="Heading1"/>
      </w:pPr>
      <w:r>
        <w:t>2. Before the call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3" w:space="0" w:color="F2F4F7"/>
          <w:left w:val="single" w:sz="3" w:space="0" w:color="F2F4F7"/>
          <w:bottom w:val="single" w:sz="3" w:space="0" w:color="F2F4F7"/>
          <w:right w:val="single" w:sz="3" w:space="0" w:color="F2F4F7"/>
          <w:insideH w:val="single" w:sz="3" w:space="0" w:color="F2F4F7"/>
          <w:insideV w:val="single" w:sz="3" w:space="0" w:color="F2F4F7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Review the enquiry and remove or quarantine unsolicited sensitive information under the approved process.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Confirm the attendee names, roles, organisation and contact details.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Send the pre-call note instructing attendees not to share identifying or sensitive information.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Open the Fit Call sheet in the Diagnostic Working Workbook and create the lead record.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Check whether an NDA is needed before non-public detail is exchanged.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Prepare a one-sentence explanation of Heutrix and the Workflow Diagnostic.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Join with the AUD 950 plus GST price, scope limits and next-step documents available.</w:t>
            </w:r>
          </w:p>
        </w:tc>
      </w:tr>
    </w:tbl>
    <w:p>
      <w:pPr>
        <w:spacing w:after="20"/>
      </w:pPr>
    </w:p>
    <w:p>
      <w:pPr>
        <w:pStyle w:val="Heading1"/>
      </w:pPr>
      <w:r>
        <w:t>3. Thirty-minute agenda and core script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Call point</w:t>
            </w:r>
          </w:p>
        </w:tc>
        <w:tc>
          <w:tcPr>
            <w:tcW w:type="dxa" w:w="75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Suggested wording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0-3 min | Open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Thanks for making the time. I will ask about the workflow at a high level, check whether our one-workflow Diagnostic is the right next step, and leave you with a clear decision. Please keep examples general and do not share patient, participant, worker or other identifying information.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3-6 min | Context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Before we focus on the workflow, what prompted you to look at this now, and what would you like to be clearer or more reliable?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6-12 min | Define scope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If we could examine only one workflow, which one would matter most? Where does it start, and what event means it is complete?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12-18 min | Find friction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Where does work wait, get repeated, depend on memory or become hard to see? Who feels the problem, and what evidence do you already have?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18-22 min | People and evidence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Who owns the workflow, who should attend a workshop, and what redacted or de-identified documents could help us understand it?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22-25 min | Safety and boundaries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Would the work require production access, identifiable information, clinical judgement, legal or compliance assurance? If yes, we need to stop and assess a different scope and approval path.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25-28 min | Reflect and decide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What I have heard is [problem], across [start] to [end], owned by [owner], with the main friction at [points]. The Diagnostic appears [fit / potentially fit / not fit] because [reason].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28-30 min | Close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next step is [send the Diagnostic documents / clarify the listed points / close or refer the enquiry]. I will send a written summary by [date].</w:t>
            </w:r>
          </w:p>
        </w:tc>
      </w:tr>
    </w:tbl>
    <w:p>
      <w:pPr>
        <w:spacing w:after="20"/>
      </w:pPr>
    </w:p>
    <w:p>
      <w:pPr>
        <w:pStyle w:val="Heading1"/>
      </w:pPr>
      <w:r>
        <w:t>4. Qualification questions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Problem. </w:t>
      </w:r>
      <w:r>
        <w:rPr>
          <w:rFonts w:ascii="Calibri" w:hAnsi="Calibri"/>
        </w:rPr>
        <w:t>What is happening now? Why does it matter? What has changed? What would happen if nothing changed?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Workflow boundary. </w:t>
      </w:r>
      <w:r>
        <w:rPr>
          <w:rFonts w:ascii="Calibri" w:hAnsi="Calibri"/>
        </w:rPr>
        <w:t>What triggers the workflow? What is the final output or completion event? Which adjacent process is explicitly outside scope?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Frequency and impact. </w:t>
      </w:r>
      <w:r>
        <w:rPr>
          <w:rFonts w:ascii="Calibri" w:hAnsi="Calibri"/>
        </w:rPr>
        <w:t>How often does it run? How many items or cases? Where are delay, rework, missed follow-up or visibility problems observed?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People and ownership. </w:t>
      </w:r>
      <w:r>
        <w:rPr>
          <w:rFonts w:ascii="Calibri" w:hAnsi="Calibri"/>
        </w:rPr>
        <w:t>Who owns the end-to-end outcome? Which roles perform or approve steps? Who can confirm facts and consolidate feedback?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Information and systems. </w:t>
      </w:r>
      <w:r>
        <w:rPr>
          <w:rFonts w:ascii="Calibri" w:hAnsi="Calibri"/>
        </w:rPr>
        <w:t>What non-identifying information moves through the workflow? Which inboxes, forms, spreadsheets or systems are used?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Evidence. </w:t>
      </w:r>
      <w:r>
        <w:rPr>
          <w:rFonts w:ascii="Calibri" w:hAnsi="Calibri"/>
        </w:rPr>
        <w:t>Can the client provide up to five relevant documents or 50 pages in total, redacted, de-identified or synthetic?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Outcome. </w:t>
      </w:r>
      <w:r>
        <w:rPr>
          <w:rFonts w:ascii="Calibri" w:hAnsi="Calibri"/>
        </w:rPr>
        <w:t>Is the client seeking a current-state view, prioritised improvements and high-level options, or expecting a configured system?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Authority and timing. </w:t>
      </w:r>
      <w:r>
        <w:rPr>
          <w:rFonts w:ascii="Calibri" w:hAnsi="Calibri"/>
        </w:rPr>
        <w:t>Who approves the AUD 950 plus GST spend? Can payment, inputs and workshop participants be available?</w:t>
      </w:r>
    </w:p>
    <w:p>
      <w:pPr>
        <w:pStyle w:val="Heading1"/>
      </w:pPr>
      <w:r>
        <w:t>5. Decision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5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62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Proceed</w:t>
            </w:r>
          </w:p>
        </w:tc>
        <w:tc>
          <w:tcPr>
            <w:tcW w:type="dxa" w:w="262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Clarify</w:t>
            </w:r>
          </w:p>
        </w:tc>
        <w:tc>
          <w:tcPr>
            <w:tcW w:type="dxa" w:w="262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Do not proceed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6"/>
              </w:rPr>
              <w:t>Operational problem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A real workflow problem is described.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Problem is vague but discoverable.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Request is only for software, staff replacement or a predetermined build.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6"/>
              </w:rPr>
              <w:t>One workflow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Start, end and owner can be named.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Boundary needs one clarification.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Multiple departments or end-to-end business transformation expected.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6"/>
              </w:rPr>
              <w:t>Evidence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Non-identifying evidence and participants are available.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Evidence availability is unconfirmed.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Useful work would require unapproved identifiable or sensitive data.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6"/>
              </w:rPr>
              <w:t>Expected output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Maps, findings and options will support a decision.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Client needs help understanding the distinction.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Client expects implementation, guaranteed savings or a compliance conclusion.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6"/>
              </w:rPr>
              <w:t>Authority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Project owner and budget authority are known.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Approver or owner must be confirmed.</w:t>
            </w:r>
          </w:p>
        </w:tc>
        <w:tc>
          <w:tcPr>
            <w:tcW w:type="dxa" w:w="2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No accountable owner or ability to approve the engagement.</w:t>
            </w:r>
          </w:p>
        </w:tc>
      </w:tr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6"/>
              </w:rPr>
              <w:t>Service boundary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Work is within operational workflow improvement.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Boundary can be narrowed in writing.</w:t>
            </w:r>
          </w:p>
        </w:tc>
        <w:tc>
          <w:tcPr>
            <w:tcW w:type="dxa" w:w="26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6"/>
              </w:rPr>
              <w:t>Clinical, legal, tax, employment, regulatory, audit, NDIS registration or compliance assurance advice is required.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Decision rule: </w:t>
            </w:r>
            <w:r>
              <w:rPr>
                <w:rFonts w:ascii="Calibri" w:hAnsi="Calibri"/>
                <w:color w:val="20262E"/>
                <w:sz w:val="20"/>
              </w:rPr>
              <w:t>Any unresolved 'do not proceed' condition stops the offer. Any 'clarify' condition must be resolved in writing before the Order Form is issued.</w:t>
            </w:r>
          </w:p>
        </w:tc>
      </w:tr>
    </w:tbl>
    <w:p>
      <w:pPr>
        <w:spacing w:after="20"/>
      </w:pPr>
    </w:p>
    <w:p>
      <w:pPr>
        <w:pStyle w:val="Heading1"/>
      </w:pPr>
      <w:r>
        <w:t>6. Outcome scripts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Call point</w:t>
            </w:r>
          </w:p>
        </w:tc>
        <w:tc>
          <w:tcPr>
            <w:tcW w:type="dxa" w:w="75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Suggested wording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Proceed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This looks suited to the Workflow Diagnostic: one defined workflow, a usable evidence path and a decision you need to make. The fixed fee is AUD 950 plus GST. I will send the Client Services Agreement and Workflow Diagnostic Order Form together so you can review the exact scope before deciding.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Clarify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There may be a fit, but I do not want to offer the Diagnostic until we confirm [workflow boundary / project owner / evidence / data setting]. I will send the questions in writing. Once those are answered, we can decide without another full call.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Not ready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problem is real, but the organisation is not ready for this Diagnostic because [reason]. The useful next step is [appoint an owner / define one workflow / prepare de-identified examples]. We can revisit when that is in place.</w:t>
            </w:r>
          </w:p>
        </w:tc>
      </w:tr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Outside scope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This request needs [regulated advice / implementation / security assessment / other specialist support], which is outside the Workflow Diagnostic. I do not want to misrepresent what Heutrix can provide. We will close this enquiry or suggest an appropriate category of provider if we can do so responsibly.</w:t>
            </w:r>
          </w:p>
        </w:tc>
      </w:tr>
    </w:tbl>
    <w:p>
      <w:pPr>
        <w:spacing w:after="20"/>
      </w:pPr>
    </w:p>
    <w:p>
      <w:pPr>
        <w:pStyle w:val="Heading1"/>
      </w:pPr>
      <w:r>
        <w:t>7. Common objections and safe responses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36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Can you just recommend software?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We may identify a system option, but only after understanding the workflow. The Diagnostic can also conclude that a process or ownership change is more useful than new technology.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Can you review whether we are compliant?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No. This offer is an operational workflow diagnostic, not an audit or compliance assurance service. We can identify an operational control or information gap without giving a compliance conclusion.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Can we send participant or patient files?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Not under the default Diagnostic setting. Use synthetic, de-identified or appropriately redacted material only. Any exception requires a separate signed data authorisation before transfer.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Does AUD 950 include the build?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No. It includes the defined workshop, limited document review, maps, opportunity list, presentation and concise report. Any implementation requires a separate scope and agreement.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Will this save us money?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The Diagnostic may identify opportunities, but Heutrix does not guarantee savings or productivity outcomes. Any estimate must be based on client evidence and clearly state its assumptions.</w:t>
            </w:r>
          </w:p>
        </w:tc>
      </w:tr>
      <w:tr>
        <w:trPr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Can AI automate the workflow?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Possibly, but AI is only one option. We first test whether the workflow should be simplified, clarified or tracked. Any client-data AI use requires a defined use case, approved tool, data limit and accountable human review.</w:t>
            </w:r>
          </w:p>
        </w:tc>
      </w:tr>
    </w:tbl>
    <w:p>
      <w:pPr>
        <w:spacing w:after="20"/>
      </w:pPr>
    </w:p>
    <w:p>
      <w:pPr>
        <w:pStyle w:val="Heading1"/>
      </w:pPr>
      <w:r>
        <w:t>8. Note-taking standard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Record observable statements and attribute material claims to the speaker or source.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Use role names, not patient, participant or worker names.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Label unverified information as an assumption or point to confirm.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Record the workflow start, end, owner, volume/frequency, systems, pain points, evidence and requested outcome.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Do not copy unnecessary detail from the client's screens, files or examples.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/>
        </w:rPr>
        <w:t>End with the decision, reasons, conditions, owner and due date for the follow-up.</w:t>
      </w:r>
    </w:p>
    <w:p>
      <w:pPr>
        <w:pStyle w:val="Heading1"/>
      </w:pPr>
      <w:r>
        <w:t>9. After-call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3" w:space="0" w:color="F2F4F7"/>
          <w:left w:val="single" w:sz="3" w:space="0" w:color="F2F4F7"/>
          <w:bottom w:val="single" w:sz="3" w:space="0" w:color="F2F4F7"/>
          <w:right w:val="single" w:sz="3" w:space="0" w:color="F2F4F7"/>
          <w:insideH w:val="single" w:sz="3" w:space="0" w:color="F2F4F7"/>
          <w:insideV w:val="single" w:sz="3" w:space="0" w:color="F2F4F7"/>
        </w:tblBorders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Complete the Fit Call decision record while the call is fresh.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Remove any unnecessary personal or sensitive information from notes under the approved process.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Send the appropriate follow-up template within one business day as an internal service target.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If proceeding, verify client legal name, ABN/ACN, authorised signatory and notice email before contract issue.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Do not start discovery, accept documents or access systems until the signed documents and payment gate are complete.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Record any clarifications as conditions; do not rely on memory or an informal verbal promise.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[ ]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If outside scope, close the lead respectfully and record the reason without making unverified referral claims.</w:t>
            </w:r>
          </w:p>
        </w:tc>
      </w:tr>
    </w:tbl>
    <w:p>
      <w:pPr>
        <w:spacing w:after="20"/>
      </w:pPr>
    </w:p>
    <w:p>
      <w:pPr>
        <w:pStyle w:val="Heading2"/>
      </w:pPr>
      <w:r>
        <w:t>Source alignment</w:t>
      </w:r>
    </w:p>
    <w:p>
      <w:r>
        <w:rPr>
          <w:rFonts w:ascii="Calibri" w:hAnsi="Calibri"/>
          <w:i/>
          <w:color w:val="66717E"/>
        </w:rPr>
        <w:t>This artefact is aligned to the Heutrix Instructions, Voice and Notes dated 31 July 2026; the Heutrix Client Services Agreement v1.0; the Workflow Diagnostic Order Form v1.0; and the Project Control Forms v1.0. If a signed client document differs, the signed document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66717E"/>
        <w:sz w:val="17"/>
      </w:rPr>
      <w:t xml:space="preserve">Heutrix Pty Ltd  |  v1.0  |  </w:t>
    </w:r>
    <w:r>
      <w:rPr>
        <w:rFonts w:ascii="Calibri" w:hAnsi="Calibri"/>
        <w:color w:val="66717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66717E"/>
        <w:sz w:val="17"/>
      </w:rPr>
      <w:t>HEUTRIX  |  Fit Call Playbook</w:t>
    </w:r>
    <w:r>
      <w:rPr>
        <w:rFonts w:ascii="Calibri" w:hAnsi="Calibri"/>
        <w:b/>
        <w:color w:val="66717E"/>
        <w:sz w:val="17"/>
      </w:rPr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 Call Playbook</dc:title>
  <dc:subject>Heutrix fit call and Workflow Diagnostic operations pack</dc:subject>
  <dc:creator>Heutrix Pty Ltd</dc:creator>
  <cp:keywords/>
  <dc:description>Operational template aligned to the Workflow Diagnostic Order Form v1.0.</dc:description>
  <cp:lastModifiedBy>Heutrix Pty Ltd</cp:lastModifiedBy>
  <cp:revision>1</cp:revision>
  <dcterms:created xsi:type="dcterms:W3CDTF">2013-12-23T23:15:00Z</dcterms:created>
  <dcterms:modified xsi:type="dcterms:W3CDTF">2013-12-23T23:15:00Z</dcterms:modified>
  <cp:category/>
</cp:coreProperties>
</file>