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DELIVERY METHOD</w:t>
      </w:r>
    </w:p>
    <w:p>
      <w:pPr>
        <w:spacing w:before="0" w:after="120"/>
      </w:pPr>
      <w:r>
        <w:rPr>
          <w:rFonts w:ascii="Calibri" w:hAnsi="Calibri"/>
          <w:b/>
          <w:color w:val="17324D"/>
          <w:sz w:val="56"/>
        </w:rPr>
        <w:t>Workflow Diagnostic Delivery Playbook</w:t>
      </w:r>
    </w:p>
    <w:p>
      <w:pPr>
        <w:spacing w:before="0" w:after="320"/>
      </w:pPr>
      <w:r>
        <w:rPr>
          <w:rFonts w:ascii="Calibri" w:hAnsi="Calibri"/>
          <w:color w:val="66717E"/>
          <w:sz w:val="26"/>
        </w:rPr>
        <w:t>End-to-end SOP, controls, quality gates and facilitator guidance</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Scope</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One defined operational workflow</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Contracted workshop</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Up to 90 minutes | up to four client participants</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Evidence review</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Up to five documents or 50 pages in total</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Target draft</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10 business days after payment and receipt of agreed inputs</w:t>
            </w:r>
          </w:p>
        </w:tc>
      </w:tr>
      <w:tr>
        <w:trPr>
          <w:cantSplit/>
        </w:trPr>
        <w:tc>
          <w:tcPr>
            <w:tcW w:type="dxa" w:w="2700"/>
            <w:shd w:fill="E8EEF5"/>
            <w:vAlign w:val="center"/>
            <w:tcMar>
              <w:top w:w="80" w:type="dxa"/>
              <w:start w:w="120" w:type="dxa"/>
              <w:bottom w:w="80" w:type="dxa"/>
              <w:end w:w="120" w:type="dxa"/>
            </w:tcMar>
          </w:tcPr>
          <w:p>
            <w:pPr>
              <w:spacing w:before="0" w:after="0" w:line="269" w:lineRule="auto"/>
              <w:jc w:val="left"/>
            </w:pPr>
            <w:r>
              <w:rPr>
                <w:rFonts w:ascii="Calibri" w:hAnsi="Calibri"/>
                <w:b/>
                <w:color w:val="17324D"/>
                <w:sz w:val="19"/>
              </w:rPr>
              <w:t>Client review</w:t>
            </w:r>
          </w:p>
        </w:tc>
        <w:tc>
          <w:tcPr>
            <w:tcW w:type="dxa" w:w="66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9"/>
              </w:rPr>
              <w:t>Five business days | one consolidated reasonable correction round</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E8F3EC"/>
          <w:left w:val="single" w:sz="2" w:space="0" w:color="E8F3EC"/>
          <w:bottom w:val="single" w:sz="2" w:space="0" w:color="E8F3EC"/>
          <w:right w:val="single" w:sz="2" w:space="0" w:color="E8F3EC"/>
          <w:insideH w:val="single" w:sz="2" w:space="0" w:color="E8F3EC"/>
          <w:insideV w:val="single" w:sz="2" w:space="0" w:color="E8F3EC"/>
        </w:tblBorders>
      </w:tblPr>
      <w:tblGrid>
        <w:gridCol w:w="9360"/>
      </w:tblGrid>
      <w:tr>
        <w:trPr>
          <w:cantSplit/>
        </w:trPr>
        <w:tc>
          <w:tcPr>
            <w:tcW w:type="dxa" w:w="9360"/>
            <w:shd w:fill="E8F3EC"/>
            <w:vAlign w:val="center"/>
            <w:tcMar>
              <w:top w:w="80" w:type="dxa"/>
              <w:start w:w="120" w:type="dxa"/>
              <w:bottom w:w="80" w:type="dxa"/>
              <w:end w:w="120" w:type="dxa"/>
            </w:tcMar>
          </w:tcPr>
          <w:p>
            <w:pPr>
              <w:spacing w:after="0"/>
            </w:pPr>
            <w:r>
              <w:rPr>
                <w:rFonts w:ascii="Calibri" w:hAnsi="Calibri"/>
                <w:b/>
                <w:color w:val="17324D"/>
                <w:sz w:val="20"/>
              </w:rPr>
              <w:t xml:space="preserve">Operating principle: </w:t>
            </w:r>
            <w:r>
              <w:rPr>
                <w:rFonts w:ascii="Calibri" w:hAnsi="Calibri"/>
                <w:color w:val="20262E"/>
                <w:sz w:val="20"/>
              </w:rPr>
              <w:t>Workflow first. Technology second. Understand people, information, decisions, handovers and failure points before recommending software, automation or AI.</w:t>
            </w:r>
          </w:p>
        </w:tc>
      </w:tr>
    </w:tbl>
    <w:p>
      <w:pPr>
        <w:spacing w:after="20"/>
      </w:pPr>
    </w:p>
    <w:p>
      <w:pPr>
        <w:pStyle w:val="Heading1"/>
      </w:pPr>
      <w:r>
        <w:t>1. Contracted outcome</w:t>
      </w:r>
    </w:p>
    <w:p>
      <w:r>
        <w:rPr>
          <w:rFonts w:ascii="Calibri" w:hAnsi="Calibri"/>
          <w:i w:val="0"/>
          <w:color w:val="20262E"/>
        </w:rPr>
        <w:t>Heutrix reviews one defined operational workflow, maps how it operates now, identifies material friction and visibility gaps, and recommends the simplest practical improvement options. The Diagnostic supports an informed next-step decision; it is not an implementation project or assurance review.</w:t>
      </w:r>
    </w:p>
    <w:p>
      <w:pPr>
        <w:pStyle w:val="Heading2"/>
      </w:pPr>
      <w:r>
        <w:t>Included deliverables</w:t>
      </w:r>
    </w:p>
    <w:p>
      <w:pPr>
        <w:spacing w:before="0" w:after="80" w:line="300" w:lineRule="auto"/>
        <w:numPr>
          <w:ilvl w:val="0"/>
          <w:numId w:val="10"/>
        </w:numPr>
      </w:pPr>
      <w:r>
        <w:rPr>
          <w:rFonts w:ascii="Calibri" w:hAnsi="Calibri"/>
        </w:rPr>
        <w:t>A current-state workflow map covering key steps, roles, information, decisions, handovers and material failure points.</w:t>
      </w:r>
    </w:p>
    <w:p>
      <w:pPr>
        <w:spacing w:before="0" w:after="80" w:line="300" w:lineRule="auto"/>
        <w:numPr>
          <w:ilvl w:val="0"/>
          <w:numId w:val="10"/>
        </w:numPr>
      </w:pPr>
      <w:r>
        <w:rPr>
          <w:rFonts w:ascii="Calibri" w:hAnsi="Calibri"/>
        </w:rPr>
        <w:t>A practical future-state workflow map showing recommended ownership, controls and material changes.</w:t>
      </w:r>
    </w:p>
    <w:p>
      <w:pPr>
        <w:spacing w:before="0" w:after="80" w:line="300" w:lineRule="auto"/>
        <w:numPr>
          <w:ilvl w:val="0"/>
          <w:numId w:val="10"/>
        </w:numPr>
      </w:pPr>
      <w:r>
        <w:rPr>
          <w:rFonts w:ascii="Calibri" w:hAnsi="Calibri"/>
        </w:rPr>
        <w:t>A prioritised opportunity list with rationale, dependencies and high-level implementation options.</w:t>
      </w:r>
    </w:p>
    <w:p>
      <w:pPr>
        <w:spacing w:before="0" w:after="80" w:line="300" w:lineRule="auto"/>
        <w:numPr>
          <w:ilvl w:val="0"/>
          <w:numId w:val="10"/>
        </w:numPr>
      </w:pPr>
      <w:r>
        <w:rPr>
          <w:rFonts w:ascii="Calibri" w:hAnsi="Calibri"/>
        </w:rPr>
        <w:t>A findings presentation of up to 60 minutes.</w:t>
      </w:r>
    </w:p>
    <w:p>
      <w:pPr>
        <w:spacing w:before="0" w:after="80" w:line="300" w:lineRule="auto"/>
        <w:numPr>
          <w:ilvl w:val="0"/>
          <w:numId w:val="10"/>
        </w:numPr>
      </w:pPr>
      <w:r>
        <w:rPr>
          <w:rFonts w:ascii="Calibri" w:hAnsi="Calibri"/>
        </w:rPr>
        <w:t>A concise written report covering scope, evidence, assumptions, observations, recommendations, dependencies and next steps.</w:t>
      </w:r>
    </w:p>
    <w:p>
      <w:pPr>
        <w:pStyle w:val="Heading1"/>
      </w:pPr>
      <w:r>
        <w:t>2. Delivery roles and separation of duties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00"/>
        <w:gridCol w:w="850"/>
        <w:gridCol w:w="6310"/>
      </w:tblGrid>
      <w:tr>
        <w:trPr>
          <w:tblHeader w:val="true"/>
          <w:cantSplit/>
        </w:trPr>
        <w:tc>
          <w:tcPr>
            <w:tcW w:type="dxa" w:w="22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Role</w:t>
            </w:r>
          </w:p>
        </w:tc>
        <w:tc>
          <w:tcPr>
            <w:tcW w:type="dxa" w:w="85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RACI</w:t>
            </w:r>
          </w:p>
        </w:tc>
        <w:tc>
          <w:tcPr>
            <w:tcW w:type="dxa" w:w="631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Responsibility</w:t>
            </w:r>
          </w:p>
        </w:tc>
      </w:tr>
      <w:tr>
        <w:trPr>
          <w:cantSplit/>
        </w:trPr>
        <w:tc>
          <w:tcPr>
            <w:tcW w:type="dxa" w:w="22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Commercial Lead</w:t>
            </w:r>
          </w:p>
        </w:tc>
        <w:tc>
          <w:tcPr>
            <w:tcW w:type="dxa" w:w="8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w:t>
            </w:r>
          </w:p>
        </w:tc>
        <w:tc>
          <w:tcPr>
            <w:tcW w:type="dxa" w:w="63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Fit decision, offer accuracy, contract issue and commercial exceptions.</w:t>
            </w:r>
          </w:p>
        </w:tc>
      </w:tr>
      <w:tr>
        <w:trPr>
          <w:cantSplit/>
        </w:trPr>
        <w:tc>
          <w:tcPr>
            <w:tcW w:type="dxa" w:w="22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Engagement Lead</w:t>
            </w:r>
          </w:p>
        </w:tc>
        <w:tc>
          <w:tcPr>
            <w:tcW w:type="dxa" w:w="8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A/R</w:t>
            </w:r>
          </w:p>
        </w:tc>
        <w:tc>
          <w:tcPr>
            <w:tcW w:type="dxa" w:w="63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Scope, plan, client relationship, workshop, findings and delivery.</w:t>
            </w:r>
          </w:p>
        </w:tc>
      </w:tr>
      <w:tr>
        <w:trPr>
          <w:cantSplit/>
        </w:trPr>
        <w:tc>
          <w:tcPr>
            <w:tcW w:type="dxa" w:w="22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Facilitator</w:t>
            </w:r>
          </w:p>
        </w:tc>
        <w:tc>
          <w:tcPr>
            <w:tcW w:type="dxa" w:w="8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R</w:t>
            </w:r>
          </w:p>
        </w:tc>
        <w:tc>
          <w:tcPr>
            <w:tcW w:type="dxa" w:w="63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Workshop design, participation, playback and action capture.</w:t>
            </w:r>
          </w:p>
        </w:tc>
      </w:tr>
      <w:tr>
        <w:trPr>
          <w:cantSplit/>
        </w:trPr>
        <w:tc>
          <w:tcPr>
            <w:tcW w:type="dxa" w:w="22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Analyst</w:t>
            </w:r>
          </w:p>
        </w:tc>
        <w:tc>
          <w:tcPr>
            <w:tcW w:type="dxa" w:w="8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R</w:t>
            </w:r>
          </w:p>
        </w:tc>
        <w:tc>
          <w:tcPr>
            <w:tcW w:type="dxa" w:w="63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Evidence register, maps, analysis, report and workbook integrity.</w:t>
            </w:r>
          </w:p>
        </w:tc>
      </w:tr>
      <w:tr>
        <w:trPr>
          <w:cantSplit/>
        </w:trPr>
        <w:tc>
          <w:tcPr>
            <w:tcW w:type="dxa" w:w="22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Quality Reviewer</w:t>
            </w:r>
          </w:p>
        </w:tc>
        <w:tc>
          <w:tcPr>
            <w:tcW w:type="dxa" w:w="8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R</w:t>
            </w:r>
          </w:p>
        </w:tc>
        <w:tc>
          <w:tcPr>
            <w:tcW w:type="dxa" w:w="63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Independent challenge and issue approval before client draft.</w:t>
            </w:r>
          </w:p>
        </w:tc>
      </w:tr>
      <w:tr>
        <w:trPr>
          <w:cantSplit/>
        </w:trPr>
        <w:tc>
          <w:tcPr>
            <w:tcW w:type="dxa" w:w="22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Privacy / Security Reviewer</w:t>
            </w:r>
          </w:p>
        </w:tc>
        <w:tc>
          <w:tcPr>
            <w:tcW w:type="dxa" w:w="8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A/R</w:t>
            </w:r>
          </w:p>
        </w:tc>
        <w:tc>
          <w:tcPr>
            <w:tcW w:type="dxa" w:w="63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Data classification, repository, access and AI approvals.</w:t>
            </w:r>
          </w:p>
        </w:tc>
      </w:tr>
      <w:tr>
        <w:trPr>
          <w:cantSplit/>
        </w:trPr>
        <w:tc>
          <w:tcPr>
            <w:tcW w:type="dxa" w:w="22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Client Project Owner</w:t>
            </w:r>
          </w:p>
        </w:tc>
        <w:tc>
          <w:tcPr>
            <w:tcW w:type="dxa" w:w="8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A/R</w:t>
            </w:r>
          </w:p>
        </w:tc>
        <w:tc>
          <w:tcPr>
            <w:tcW w:type="dxa" w:w="63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Inputs, participant coordination, fact confirmation and consolidated acceptance feedback.</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Assignment: </w:t>
            </w:r>
            <w:r>
              <w:rPr>
                <w:rFonts w:ascii="Calibri" w:hAnsi="Calibri"/>
                <w:color w:val="20262E"/>
                <w:sz w:val="20"/>
              </w:rPr>
              <w:t>Replace functional roles with named people in the engagement setup. No project should have an unnamed accountable Engagement Lead or Client Project Owner.</w:t>
            </w:r>
          </w:p>
        </w:tc>
      </w:tr>
    </w:tbl>
    <w:p>
      <w:pPr>
        <w:spacing w:after="20"/>
      </w:pPr>
    </w:p>
    <w:p>
      <w:pPr>
        <w:pStyle w:val="Heading1"/>
      </w:pPr>
      <w:r>
        <w:t>3. Stage plan and target timing</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2450"/>
        <w:gridCol w:w="5010"/>
      </w:tblGrid>
      <w:tr>
        <w:trPr>
          <w:tblHeader w:val="true"/>
          <w:cantSplit/>
        </w:trPr>
        <w:tc>
          <w:tcPr>
            <w:tcW w:type="dxa" w:w="19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Stage</w:t>
            </w:r>
          </w:p>
        </w:tc>
        <w:tc>
          <w:tcPr>
            <w:tcW w:type="dxa" w:w="245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Timing</w:t>
            </w:r>
          </w:p>
        </w:tc>
        <w:tc>
          <w:tcPr>
            <w:tcW w:type="dxa" w:w="501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Exit condition</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Activation</w:t>
            </w:r>
          </w:p>
        </w:tc>
        <w:tc>
          <w:tcPr>
            <w:tcW w:type="dxa" w:w="24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Day 0</w:t>
            </w:r>
          </w:p>
        </w:tc>
        <w:tc>
          <w:tcPr>
            <w:tcW w:type="dxa" w:w="50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Signed CSA and Order Form; cleared payment; project record created.</w:t>
            </w:r>
          </w:p>
        </w:tc>
      </w:tr>
      <w:tr>
        <w:trPr>
          <w:cantSplit/>
        </w:trPr>
        <w:tc>
          <w:tcPr>
            <w:tcW w:type="dxa" w:w="19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Inputs</w:t>
            </w:r>
          </w:p>
        </w:tc>
        <w:tc>
          <w:tcPr>
            <w:tcW w:type="dxa" w:w="24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Client target: within 5 business days</w:t>
            </w:r>
          </w:p>
        </w:tc>
        <w:tc>
          <w:tcPr>
            <w:tcW w:type="dxa" w:w="50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Owner, participants, redacted documents and availability provided.</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Kickoff / data check</w:t>
            </w:r>
          </w:p>
        </w:tc>
        <w:tc>
          <w:tcPr>
            <w:tcW w:type="dxa" w:w="24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Before evidence review</w:t>
            </w:r>
          </w:p>
        </w:tc>
        <w:tc>
          <w:tcPr>
            <w:tcW w:type="dxa" w:w="50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Scope, repository, access, data class, workshop and dates confirmed.</w:t>
            </w:r>
          </w:p>
        </w:tc>
      </w:tr>
      <w:tr>
        <w:trPr>
          <w:cantSplit/>
        </w:trPr>
        <w:tc>
          <w:tcPr>
            <w:tcW w:type="dxa" w:w="19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Discovery workshop</w:t>
            </w:r>
          </w:p>
        </w:tc>
        <w:tc>
          <w:tcPr>
            <w:tcW w:type="dxa" w:w="24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Agreed date</w:t>
            </w:r>
          </w:p>
        </w:tc>
        <w:tc>
          <w:tcPr>
            <w:tcW w:type="dxa" w:w="50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Up to 90 minutes; current-state facts and constraints captured.</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Analysis and draft</w:t>
            </w:r>
          </w:p>
        </w:tc>
        <w:tc>
          <w:tcPr>
            <w:tcW w:type="dxa" w:w="24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Within 10 business days after payment and inputs</w:t>
            </w:r>
          </w:p>
        </w:tc>
        <w:tc>
          <w:tcPr>
            <w:tcW w:type="dxa" w:w="50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Maps, opportunity list, report and deck complete.</w:t>
            </w:r>
          </w:p>
        </w:tc>
      </w:tr>
      <w:tr>
        <w:trPr>
          <w:cantSplit/>
        </w:trPr>
        <w:tc>
          <w:tcPr>
            <w:tcW w:type="dxa" w:w="19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Findings presentation</w:t>
            </w:r>
          </w:p>
        </w:tc>
        <w:tc>
          <w:tcPr>
            <w:tcW w:type="dxa" w:w="24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Within 5 business days of draft</w:t>
            </w:r>
          </w:p>
        </w:tc>
        <w:tc>
          <w:tcPr>
            <w:tcW w:type="dxa" w:w="50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Up to 60 minutes; questions and correction items recorded.</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Client review</w:t>
            </w:r>
          </w:p>
        </w:tc>
        <w:tc>
          <w:tcPr>
            <w:tcW w:type="dxa" w:w="245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5 business days</w:t>
            </w:r>
          </w:p>
        </w:tc>
        <w:tc>
          <w:tcPr>
            <w:tcW w:type="dxa" w:w="501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Accept or give specific reasons against acceptance criteria.</w:t>
            </w:r>
          </w:p>
        </w:tc>
      </w:tr>
      <w:tr>
        <w:trPr>
          <w:cantSplit/>
        </w:trPr>
        <w:tc>
          <w:tcPr>
            <w:tcW w:type="dxa" w:w="19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Correction / close</w:t>
            </w:r>
          </w:p>
        </w:tc>
        <w:tc>
          <w:tcPr>
            <w:tcW w:type="dxa" w:w="245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Agreed date</w:t>
            </w:r>
          </w:p>
        </w:tc>
        <w:tc>
          <w:tcPr>
            <w:tcW w:type="dxa" w:w="501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One consolidated reasonable correction round, acceptance and closeout.</w:t>
            </w:r>
          </w:p>
        </w:tc>
      </w:tr>
    </w:tbl>
    <w:p>
      <w:pPr>
        <w:spacing w:after="20"/>
      </w:pPr>
    </w:p>
    <w:p>
      <w:pPr>
        <w:pStyle w:val="Heading1"/>
      </w:pPr>
      <w:r>
        <w:t>4. Stage 1 - Activate the engagement</w:t>
      </w:r>
    </w:p>
    <w:p>
      <w:pPr>
        <w:pStyle w:val="Heading2"/>
      </w:pPr>
      <w:r>
        <w:t>Entry gate</w:t>
      </w:r>
    </w:p>
    <w:tbl>
      <w:tblPr>
        <w:tblW w:type="dxa" w:w="9360"/>
        <w:jc w:val="left"/>
        <w:tblLayout w:type="fixed"/>
        <w:tblLook w:firstColumn="1" w:firstRow="1" w:lastColumn="0" w:lastRow="0" w:noHBand="0" w:noVBand="1" w:val="04A0"/>
        <w:tblInd w:type="dxa" w:w="120"/>
        <w:tblBorders>
          <w:top w:val="single" w:sz="3" w:space="0" w:color="F2F4F7"/>
          <w:left w:val="single" w:sz="3" w:space="0" w:color="F2F4F7"/>
          <w:bottom w:val="single" w:sz="3" w:space="0" w:color="F2F4F7"/>
          <w:right w:val="single" w:sz="3" w:space="0" w:color="F2F4F7"/>
          <w:insideH w:val="single" w:sz="3" w:space="0" w:color="F2F4F7"/>
          <w:insideV w:val="single" w:sz="3" w:space="0" w:color="F2F4F7"/>
        </w:tblBorders>
      </w:tblPr>
      <w:tblGrid>
        <w:gridCol w:w="600"/>
        <w:gridCol w:w="8760"/>
      </w:tblGrid>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Fit decision is Proceed and all clarification conditions are resolved.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Client legal name, ABN/ACN, authorised signatory and notice email are verified.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Client Services Agreement and Workflow Diagnostic Order Form are signed.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Invoice is valid and payment has cleared.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The contracted workflow statement, start, end, fee and dates are recorded.</w:t>
            </w:r>
          </w:p>
        </w:tc>
      </w:tr>
    </w:tbl>
    <w:p>
      <w:pPr>
        <w:spacing w:after="20"/>
      </w:pPr>
    </w:p>
    <w:p>
      <w:pPr>
        <w:pStyle w:val="Heading2"/>
      </w:pPr>
      <w:r>
        <w:t>Actions</w:t>
      </w:r>
    </w:p>
    <w:p>
      <w:pPr>
        <w:spacing w:before="0" w:after="80" w:line="300" w:lineRule="auto"/>
        <w:numPr>
          <w:ilvl w:val="0"/>
          <w:numId w:val="11"/>
        </w:numPr>
      </w:pPr>
      <w:r>
        <w:rPr>
          <w:rFonts w:ascii="Calibri" w:hAnsi="Calibri"/>
        </w:rPr>
        <w:t>Create the project ID and approved folder structure.</w:t>
      </w:r>
    </w:p>
    <w:p>
      <w:pPr>
        <w:spacing w:before="0" w:after="80" w:line="300" w:lineRule="auto"/>
        <w:numPr>
          <w:ilvl w:val="0"/>
          <w:numId w:val="11"/>
        </w:numPr>
      </w:pPr>
      <w:r>
        <w:rPr>
          <w:rFonts w:ascii="Calibri" w:hAnsi="Calibri"/>
        </w:rPr>
        <w:t>Assign the Engagement Lead, Analyst, Quality Reviewer and Privacy / Security Reviewer.</w:t>
      </w:r>
    </w:p>
    <w:p>
      <w:pPr>
        <w:spacing w:before="0" w:after="80" w:line="300" w:lineRule="auto"/>
        <w:numPr>
          <w:ilvl w:val="0"/>
          <w:numId w:val="11"/>
        </w:numPr>
      </w:pPr>
      <w:r>
        <w:rPr>
          <w:rFonts w:ascii="Calibri" w:hAnsi="Calibri"/>
        </w:rPr>
        <w:t>Copy the signed contract details into the Engagement Setup sheet; do not re-interpret them.</w:t>
      </w:r>
    </w:p>
    <w:p>
      <w:pPr>
        <w:spacing w:before="0" w:after="80" w:line="300" w:lineRule="auto"/>
        <w:numPr>
          <w:ilvl w:val="0"/>
          <w:numId w:val="11"/>
        </w:numPr>
      </w:pPr>
      <w:r>
        <w:rPr>
          <w:rFonts w:ascii="Calibri" w:hAnsi="Calibri"/>
        </w:rPr>
        <w:t>Send the welcome, document request and workshop scheduling communications.</w:t>
      </w:r>
    </w:p>
    <w:p>
      <w:pPr>
        <w:spacing w:before="0" w:after="80" w:line="300" w:lineRule="auto"/>
        <w:numPr>
          <w:ilvl w:val="0"/>
          <w:numId w:val="11"/>
        </w:numPr>
      </w:pPr>
      <w:r>
        <w:rPr>
          <w:rFonts w:ascii="Calibri" w:hAnsi="Calibri"/>
        </w:rPr>
        <w:t>Open the deliverables checklist and place target dates in the project calendar.</w:t>
      </w:r>
    </w:p>
    <w:tbl>
      <w:tblPr>
        <w:tblW w:type="dxa" w:w="9360"/>
        <w:jc w:val="left"/>
        <w:tblLayout w:type="fixed"/>
        <w:tblLook w:firstColumn="1" w:firstRow="1" w:lastColumn="0" w:lastRow="0" w:noHBand="0" w:noVBand="1" w:val="04A0"/>
        <w:tblInd w:type="dxa" w:w="120"/>
        <w:tblBorders>
          <w:top w:val="single" w:sz="2" w:space="0" w:color="FCE8E6"/>
          <w:left w:val="single" w:sz="2" w:space="0" w:color="FCE8E6"/>
          <w:bottom w:val="single" w:sz="2" w:space="0" w:color="FCE8E6"/>
          <w:right w:val="single" w:sz="2" w:space="0" w:color="FCE8E6"/>
          <w:insideH w:val="single" w:sz="2" w:space="0" w:color="FCE8E6"/>
          <w:insideV w:val="single" w:sz="2" w:space="0" w:color="FCE8E6"/>
        </w:tblBorders>
      </w:tblPr>
      <w:tblGrid>
        <w:gridCol w:w="9360"/>
      </w:tblGrid>
      <w:tr>
        <w:trPr>
          <w:cantSplit/>
        </w:trPr>
        <w:tc>
          <w:tcPr>
            <w:tcW w:type="dxa" w:w="9360"/>
            <w:shd w:fill="FCE8E6"/>
            <w:vAlign w:val="center"/>
            <w:tcMar>
              <w:top w:w="80" w:type="dxa"/>
              <w:start w:w="120" w:type="dxa"/>
              <w:bottom w:w="80" w:type="dxa"/>
              <w:end w:w="120" w:type="dxa"/>
            </w:tcMar>
          </w:tcPr>
          <w:p>
            <w:pPr>
              <w:spacing w:after="0"/>
            </w:pPr>
            <w:r>
              <w:rPr>
                <w:rFonts w:ascii="Calibri" w:hAnsi="Calibri"/>
                <w:b/>
                <w:color w:val="9B1C1C"/>
                <w:sz w:val="20"/>
              </w:rPr>
              <w:t xml:space="preserve">No early start: </w:t>
            </w:r>
            <w:r>
              <w:rPr>
                <w:rFonts w:ascii="Calibri" w:hAnsi="Calibri"/>
                <w:color w:val="20262E"/>
                <w:sz w:val="20"/>
              </w:rPr>
              <w:t>Do not accept client files, begin mapping or run discovery before contract, payment and data-handling gates are complete.</w:t>
            </w:r>
          </w:p>
        </w:tc>
      </w:tr>
    </w:tbl>
    <w:p>
      <w:pPr>
        <w:spacing w:after="20"/>
      </w:pPr>
    </w:p>
    <w:p>
      <w:pPr>
        <w:pStyle w:val="Heading1"/>
      </w:pPr>
      <w:r>
        <w:t>5. Stage 2 - Kickoff and data-handling check</w:t>
      </w:r>
    </w:p>
    <w:p>
      <w:r>
        <w:rPr>
          <w:rFonts w:ascii="Calibri" w:hAnsi="Calibri"/>
          <w:i w:val="0"/>
          <w:color w:val="20262E"/>
        </w:rPr>
        <w:t>Run a short kickoff with the Client Project Owner before reviewing documents. The goal is to make the engagement safe and workshop-ready, not to repeat the fit call.</w:t>
      </w:r>
    </w:p>
    <w:tbl>
      <w:tblPr>
        <w:tblW w:type="dxa" w:w="9360"/>
        <w:jc w:val="left"/>
        <w:tblLayout w:type="fixed"/>
        <w:tblLook w:firstColumn="1" w:firstRow="1" w:lastColumn="0" w:lastRow="0" w:noHBand="0" w:noVBand="1" w:val="04A0"/>
        <w:tblInd w:type="dxa" w:w="120"/>
        <w:tblBorders>
          <w:top w:val="single" w:sz="3" w:space="0" w:color="F2F4F7"/>
          <w:left w:val="single" w:sz="3" w:space="0" w:color="F2F4F7"/>
          <w:bottom w:val="single" w:sz="3" w:space="0" w:color="F2F4F7"/>
          <w:right w:val="single" w:sz="3" w:space="0" w:color="F2F4F7"/>
          <w:insideH w:val="single" w:sz="3" w:space="0" w:color="F2F4F7"/>
          <w:insideV w:val="single" w:sz="3" w:space="0" w:color="F2F4F7"/>
        </w:tblBorders>
      </w:tblPr>
      <w:tblGrid>
        <w:gridCol w:w="600"/>
        <w:gridCol w:w="8760"/>
      </w:tblGrid>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Read back the exact workflow in scope and the explicit start and end points.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Confirm out-of-scope adjacent workflows and any contractual special conditions.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Confirm the Client Project Owner has authority to consolidate operational facts and feedback.</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Confirm workshop attendees, roles and availability; maximum four client participants unless changed in writing.</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Confirm the approved client-controlled Google Workspace, SharePoint or other expressly approved repository.</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Confirm the default data class: no Personal Information or sensitive information; redacted, de-identified or synthetic material only.</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Confirm no production system access, local download or client-data AI use is approved by default.</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Record retention, return/deletion and access end dates.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Confirm the evidence list, document limit and due date.</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Confirm draft, presentation and review targets, noting dates move if dependencies are late.</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Stop and escalate: </w:t>
            </w:r>
            <w:r>
              <w:rPr>
                <w:rFonts w:ascii="Calibri" w:hAnsi="Calibri"/>
                <w:color w:val="20262E"/>
                <w:sz w:val="20"/>
              </w:rPr>
              <w:t>If the client says useful work requires identifiable or sensitive data, production access, local download, offshore handling or AI use, stop. Obtain the relevant signed authorisation or change the method before proceeding.</w:t>
            </w:r>
          </w:p>
        </w:tc>
      </w:tr>
    </w:tbl>
    <w:p>
      <w:pPr>
        <w:spacing w:after="20"/>
      </w:pPr>
    </w:p>
    <w:p>
      <w:pPr>
        <w:pStyle w:val="Heading1"/>
      </w:pPr>
      <w:r>
        <w:t>6. Stage 3 - Evidence intake and review</w:t>
      </w:r>
    </w:p>
    <w:p>
      <w:pPr>
        <w:spacing w:before="0" w:after="80" w:line="300" w:lineRule="auto"/>
        <w:numPr>
          <w:ilvl w:val="0"/>
          <w:numId w:val="11"/>
        </w:numPr>
      </w:pPr>
      <w:r>
        <w:rPr>
          <w:rFonts w:ascii="Calibri" w:hAnsi="Calibri"/>
        </w:rPr>
        <w:t>Receive files only through the approved repository. Do not ask the client to email protected material.</w:t>
      </w:r>
    </w:p>
    <w:p>
      <w:pPr>
        <w:spacing w:before="0" w:after="80" w:line="300" w:lineRule="auto"/>
        <w:numPr>
          <w:ilvl w:val="0"/>
          <w:numId w:val="11"/>
        </w:numPr>
      </w:pPr>
      <w:r>
        <w:rPr>
          <w:rFonts w:ascii="Calibri" w:hAnsi="Calibri"/>
        </w:rPr>
        <w:t>Log each item in the Evidence Register with source, date, version, data class, relevance and handling status.</w:t>
      </w:r>
    </w:p>
    <w:p>
      <w:pPr>
        <w:spacing w:before="0" w:after="80" w:line="300" w:lineRule="auto"/>
        <w:numPr>
          <w:ilvl w:val="0"/>
          <w:numId w:val="11"/>
        </w:numPr>
      </w:pPr>
      <w:r>
        <w:rPr>
          <w:rFonts w:ascii="Calibri" w:hAnsi="Calibri"/>
        </w:rPr>
        <w:t>Check the engagement limit of five documents or 50 pages in total. Raise a Change Request before exceeding it.</w:t>
      </w:r>
    </w:p>
    <w:p>
      <w:pPr>
        <w:spacing w:before="0" w:after="80" w:line="300" w:lineRule="auto"/>
        <w:numPr>
          <w:ilvl w:val="0"/>
          <w:numId w:val="11"/>
        </w:numPr>
      </w:pPr>
      <w:r>
        <w:rPr>
          <w:rFonts w:ascii="Calibri" w:hAnsi="Calibri"/>
        </w:rPr>
        <w:t>Screen for identifying or sensitive information before substantive review. Quarantine and escalate any unapproved content.</w:t>
      </w:r>
    </w:p>
    <w:p>
      <w:pPr>
        <w:spacing w:before="0" w:after="80" w:line="300" w:lineRule="auto"/>
        <w:numPr>
          <w:ilvl w:val="0"/>
          <w:numId w:val="11"/>
        </w:numPr>
      </w:pPr>
      <w:r>
        <w:rPr>
          <w:rFonts w:ascii="Calibri" w:hAnsi="Calibri"/>
        </w:rPr>
        <w:t>Extract only the workflow facts needed: trigger, role, activity, information, system, decision, handover, output, exception and observed issue.</w:t>
      </w:r>
    </w:p>
    <w:p>
      <w:pPr>
        <w:spacing w:before="0" w:after="80" w:line="300" w:lineRule="auto"/>
        <w:numPr>
          <w:ilvl w:val="0"/>
          <w:numId w:val="11"/>
        </w:numPr>
      </w:pPr>
      <w:r>
        <w:rPr>
          <w:rFonts w:ascii="Calibri" w:hAnsi="Calibri"/>
        </w:rPr>
        <w:t>Record contradictions and gaps as questions for the workshop; do not resolve them by assumption.</w:t>
      </w:r>
    </w:p>
    <w:p>
      <w:pPr>
        <w:spacing w:before="0" w:after="80" w:line="300" w:lineRule="auto"/>
        <w:numPr>
          <w:ilvl w:val="0"/>
          <w:numId w:val="11"/>
        </w:numPr>
      </w:pPr>
      <w:r>
        <w:rPr>
          <w:rFonts w:ascii="Calibri" w:hAnsi="Calibri"/>
        </w:rPr>
        <w:t>Prepare a one-page hypothesis map and question list for facilitation. Mark both as internal hypotheses, not findings.</w:t>
      </w:r>
    </w:p>
    <w:p>
      <w:pPr>
        <w:pStyle w:val="Heading2"/>
      </w:pPr>
      <w:r>
        <w:t>Evidence standard</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3500"/>
        <w:gridCol w:w="3560"/>
      </w:tblGrid>
      <w:tr>
        <w:trPr>
          <w:tblHeader w:val="true"/>
          <w:cantSplit/>
        </w:trPr>
        <w:tc>
          <w:tcPr>
            <w:tcW w:type="dxa" w:w="2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Evidence type</w:t>
            </w:r>
          </w:p>
        </w:tc>
        <w:tc>
          <w:tcPr>
            <w:tcW w:type="dxa" w:w="35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Use</w:t>
            </w:r>
          </w:p>
        </w:tc>
        <w:tc>
          <w:tcPr>
            <w:tcW w:type="dxa" w:w="35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Confidence note</w:t>
            </w:r>
          </w:p>
        </w:tc>
      </w:tr>
      <w:tr>
        <w:trPr>
          <w:cantSplit/>
        </w:trPr>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Approved policy / procedure</w:t>
            </w:r>
          </w:p>
        </w:tc>
        <w:tc>
          <w:tcPr>
            <w:tcW w:type="dxa" w:w="3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Intended process</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Does not prove actual practice.</w:t>
            </w:r>
          </w:p>
        </w:tc>
      </w:tr>
      <w:tr>
        <w:trPr>
          <w:cantSplit/>
        </w:trPr>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System field or status list</w:t>
            </w:r>
          </w:p>
        </w:tc>
        <w:tc>
          <w:tcPr>
            <w:tcW w:type="dxa" w:w="3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Available structure and controls</w:t>
            </w:r>
          </w:p>
        </w:tc>
        <w:tc>
          <w:tcPr>
            <w:tcW w:type="dxa" w:w="35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Does not prove consistent use.</w:t>
            </w:r>
          </w:p>
        </w:tc>
      </w:tr>
      <w:tr>
        <w:trPr>
          <w:cantSplit/>
        </w:trPr>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De-identified sample</w:t>
            </w:r>
          </w:p>
        </w:tc>
        <w:tc>
          <w:tcPr>
            <w:tcW w:type="dxa" w:w="3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How information appears in practice</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Check whether sample is representative.</w:t>
            </w:r>
          </w:p>
        </w:tc>
      </w:tr>
      <w:tr>
        <w:trPr>
          <w:cantSplit/>
        </w:trPr>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Participant account</w:t>
            </w:r>
          </w:p>
        </w:tc>
        <w:tc>
          <w:tcPr>
            <w:tcW w:type="dxa" w:w="3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Observed practice, exception or pain</w:t>
            </w:r>
          </w:p>
        </w:tc>
        <w:tc>
          <w:tcPr>
            <w:tcW w:type="dxa" w:w="35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Attribute by role and seek corroboration.</w:t>
            </w:r>
          </w:p>
        </w:tc>
      </w:tr>
      <w:tr>
        <w:trPr>
          <w:cantSplit/>
        </w:trPr>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Volume / timing data</w:t>
            </w:r>
          </w:p>
        </w:tc>
        <w:tc>
          <w:tcPr>
            <w:tcW w:type="dxa" w:w="3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Frequency, delay or rework estimate</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Record period, source and method.</w:t>
            </w:r>
          </w:p>
        </w:tc>
      </w:tr>
      <w:tr>
        <w:trPr>
          <w:cantSplit/>
        </w:trPr>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Analyst observation</w:t>
            </w:r>
          </w:p>
        </w:tc>
        <w:tc>
          <w:tcPr>
            <w:tcW w:type="dxa" w:w="3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What occurred in the workshop or review</w:t>
            </w:r>
          </w:p>
        </w:tc>
        <w:tc>
          <w:tcPr>
            <w:tcW w:type="dxa" w:w="35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Separate from client-confirmed fact.</w:t>
            </w:r>
          </w:p>
        </w:tc>
      </w:tr>
    </w:tbl>
    <w:p>
      <w:pPr>
        <w:spacing w:after="20"/>
      </w:pPr>
    </w:p>
    <w:p>
      <w:pPr>
        <w:pStyle w:val="Heading1"/>
      </w:pPr>
      <w:r>
        <w:t>7. Stage 4 - Discovery workshop</w:t>
      </w:r>
    </w:p>
    <w:p>
      <w:pPr>
        <w:pStyle w:val="Heading2"/>
      </w:pPr>
      <w:r>
        <w:t>Workshop outcome</w:t>
      </w:r>
    </w:p>
    <w:p>
      <w:r>
        <w:rPr>
          <w:rFonts w:ascii="Calibri" w:hAnsi="Calibri"/>
          <w:i w:val="0"/>
          <w:color w:val="20262E"/>
        </w:rPr>
        <w:t>By the end of 90 minutes, the team should have a shared, bounded account of the current workflow, key exceptions and pain points; a clear statement of the future outcome; and a list of evidence gaps and owners.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000"/>
        <w:gridCol w:w="2200"/>
        <w:gridCol w:w="6160"/>
      </w:tblGrid>
      <w:tr>
        <w:trPr>
          <w:tblHeader w:val="true"/>
          <w:cantSplit/>
        </w:trPr>
        <w:tc>
          <w:tcPr>
            <w:tcW w:type="dxa" w:w="10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Minutes</w:t>
            </w:r>
          </w:p>
        </w:tc>
        <w:tc>
          <w:tcPr>
            <w:tcW w:type="dxa" w:w="22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Segment</w:t>
            </w:r>
          </w:p>
        </w:tc>
        <w:tc>
          <w:tcPr>
            <w:tcW w:type="dxa" w:w="61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Facilitator focus</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0-10</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Open and bound</w:t>
            </w:r>
          </w:p>
        </w:tc>
        <w:tc>
          <w:tcPr>
            <w:tcW w:type="dxa" w:w="61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Purpose, no-sensitive-data reminder, start/end, roles, decision rule and parking lot.</w:t>
            </w:r>
          </w:p>
        </w:tc>
      </w:tr>
      <w:tr>
        <w:trPr>
          <w:cantSplit/>
        </w:trPr>
        <w:tc>
          <w:tcPr>
            <w:tcW w:type="dxa" w:w="10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10-35</w:t>
            </w:r>
          </w:p>
        </w:tc>
        <w:tc>
          <w:tcPr>
            <w:tcW w:type="dxa" w:w="22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Walk the normal path</w:t>
            </w:r>
          </w:p>
        </w:tc>
        <w:tc>
          <w:tcPr>
            <w:tcW w:type="dxa" w:w="61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Trigger, steps, roles, systems, information, decisions, handovers and completion.</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35-55</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Test exceptions</w:t>
            </w:r>
          </w:p>
        </w:tc>
        <w:tc>
          <w:tcPr>
            <w:tcW w:type="dxa" w:w="61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Common variants, rework, missing information, escalation, delay and failure recovery.</w:t>
            </w:r>
          </w:p>
        </w:tc>
      </w:tr>
      <w:tr>
        <w:trPr>
          <w:cantSplit/>
        </w:trPr>
        <w:tc>
          <w:tcPr>
            <w:tcW w:type="dxa" w:w="10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55-70</w:t>
            </w:r>
          </w:p>
        </w:tc>
        <w:tc>
          <w:tcPr>
            <w:tcW w:type="dxa" w:w="22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Evidence and impact</w:t>
            </w:r>
          </w:p>
        </w:tc>
        <w:tc>
          <w:tcPr>
            <w:tcW w:type="dxa" w:w="61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Frequency, timing, volume, risk, visibility and corroborating evidence.</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70-82</w:t>
            </w:r>
          </w:p>
        </w:tc>
        <w:tc>
          <w:tcPr>
            <w:tcW w:type="dxa" w:w="22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Future outcome and constraints</w:t>
            </w:r>
          </w:p>
        </w:tc>
        <w:tc>
          <w:tcPr>
            <w:tcW w:type="dxa" w:w="61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What must be easier, visible or controlled; non-negotiables; human review.</w:t>
            </w:r>
          </w:p>
        </w:tc>
      </w:tr>
      <w:tr>
        <w:trPr>
          <w:cantSplit/>
        </w:trPr>
        <w:tc>
          <w:tcPr>
            <w:tcW w:type="dxa" w:w="10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82-90</w:t>
            </w:r>
          </w:p>
        </w:tc>
        <w:tc>
          <w:tcPr>
            <w:tcW w:type="dxa" w:w="22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Playback and close</w:t>
            </w:r>
          </w:p>
        </w:tc>
        <w:tc>
          <w:tcPr>
            <w:tcW w:type="dxa" w:w="61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Read back the workflow, open questions, evidence requests, owners and next dates.</w:t>
            </w:r>
          </w:p>
        </w:tc>
      </w:tr>
    </w:tbl>
    <w:p>
      <w:pPr>
        <w:spacing w:after="20"/>
      </w:pPr>
    </w:p>
    <w:p>
      <w:pPr>
        <w:pStyle w:val="Heading2"/>
      </w:pPr>
      <w:r>
        <w:t>Facilitator prompts</w:t>
      </w:r>
    </w:p>
    <w:p>
      <w:pPr>
        <w:ind w:left="259" w:hanging="259"/>
      </w:pPr>
      <w:r>
        <w:rPr>
          <w:rFonts w:ascii="Calibri" w:hAnsi="Calibri"/>
          <w:b/>
          <w:color w:val="17324D"/>
        </w:rPr>
        <w:t xml:space="preserve">Trigger. </w:t>
      </w:r>
      <w:r>
        <w:rPr>
          <w:rFonts w:ascii="Calibri" w:hAnsi="Calibri"/>
        </w:rPr>
        <w:t>What event starts the workflow? Who knows it has started? What information must be present?</w:t>
      </w:r>
    </w:p>
    <w:p>
      <w:pPr>
        <w:ind w:left="259" w:hanging="259"/>
      </w:pPr>
      <w:r>
        <w:rPr>
          <w:rFonts w:ascii="Calibri" w:hAnsi="Calibri"/>
          <w:b/>
          <w:color w:val="17324D"/>
        </w:rPr>
        <w:t xml:space="preserve">Activity. </w:t>
      </w:r>
      <w:r>
        <w:rPr>
          <w:rFonts w:ascii="Calibri" w:hAnsi="Calibri"/>
        </w:rPr>
        <w:t>What happens next in practice, not only in the procedure? Who does it and where is it recorded?</w:t>
      </w:r>
    </w:p>
    <w:p>
      <w:pPr>
        <w:ind w:left="259" w:hanging="259"/>
      </w:pPr>
      <w:r>
        <w:rPr>
          <w:rFonts w:ascii="Calibri" w:hAnsi="Calibri"/>
          <w:b/>
          <w:color w:val="17324D"/>
        </w:rPr>
        <w:t xml:space="preserve">Decision. </w:t>
      </w:r>
      <w:r>
        <w:rPr>
          <w:rFonts w:ascii="Calibri" w:hAnsi="Calibri"/>
        </w:rPr>
        <w:t>What decision is made, using which rule, by whom and with what evidence?</w:t>
      </w:r>
    </w:p>
    <w:p>
      <w:pPr>
        <w:ind w:left="259" w:hanging="259"/>
      </w:pPr>
      <w:r>
        <w:rPr>
          <w:rFonts w:ascii="Calibri" w:hAnsi="Calibri"/>
          <w:b/>
          <w:color w:val="17324D"/>
        </w:rPr>
        <w:t xml:space="preserve">Handover. </w:t>
      </w:r>
      <w:r>
        <w:rPr>
          <w:rFonts w:ascii="Calibri" w:hAnsi="Calibri"/>
        </w:rPr>
        <w:t>How does the next person know they own the action? What happens if they do not respond?</w:t>
      </w:r>
    </w:p>
    <w:p>
      <w:pPr>
        <w:ind w:left="259" w:hanging="259"/>
      </w:pPr>
      <w:r>
        <w:rPr>
          <w:rFonts w:ascii="Calibri" w:hAnsi="Calibri"/>
          <w:b/>
          <w:color w:val="17324D"/>
        </w:rPr>
        <w:t xml:space="preserve">Exception. </w:t>
      </w:r>
      <w:r>
        <w:rPr>
          <w:rFonts w:ascii="Calibri" w:hAnsi="Calibri"/>
        </w:rPr>
        <w:t>What is the most common reason the normal path breaks? How is recovery managed?</w:t>
      </w:r>
    </w:p>
    <w:p>
      <w:pPr>
        <w:ind w:left="259" w:hanging="259"/>
      </w:pPr>
      <w:r>
        <w:rPr>
          <w:rFonts w:ascii="Calibri" w:hAnsi="Calibri"/>
          <w:b/>
          <w:color w:val="17324D"/>
        </w:rPr>
        <w:t xml:space="preserve">Visibility. </w:t>
      </w:r>
      <w:r>
        <w:rPr>
          <w:rFonts w:ascii="Calibri" w:hAnsi="Calibri"/>
        </w:rPr>
        <w:t>Who needs to know status, priority or age? Where do they look today?</w:t>
      </w:r>
    </w:p>
    <w:p>
      <w:pPr>
        <w:ind w:left="259" w:hanging="259"/>
      </w:pPr>
      <w:r>
        <w:rPr>
          <w:rFonts w:ascii="Calibri" w:hAnsi="Calibri"/>
          <w:b/>
          <w:color w:val="17324D"/>
        </w:rPr>
        <w:t xml:space="preserve">Control. </w:t>
      </w:r>
      <w:r>
        <w:rPr>
          <w:rFonts w:ascii="Calibri" w:hAnsi="Calibri"/>
        </w:rPr>
        <w:t>What must remain human-reviewed, restricted, logged or approved?</w:t>
      </w:r>
    </w:p>
    <w:p>
      <w:pPr>
        <w:ind w:left="259" w:hanging="259"/>
      </w:pPr>
      <w:r>
        <w:rPr>
          <w:rFonts w:ascii="Calibri" w:hAnsi="Calibri"/>
          <w:b/>
          <w:color w:val="17324D"/>
        </w:rPr>
        <w:t xml:space="preserve">Evidence. </w:t>
      </w:r>
      <w:r>
        <w:rPr>
          <w:rFonts w:ascii="Calibri" w:hAnsi="Calibri"/>
        </w:rPr>
        <w:t>How do we know this occurs? Is there a de-identified example, system field, count or time measure?</w:t>
      </w:r>
    </w:p>
    <w:p>
      <w:pPr>
        <w:ind w:left="259" w:hanging="259"/>
      </w:pPr>
      <w:r>
        <w:rPr>
          <w:rFonts w:ascii="Calibri" w:hAnsi="Calibri"/>
          <w:b/>
          <w:color w:val="17324D"/>
        </w:rPr>
        <w:t xml:space="preserve">Future outcome. </w:t>
      </w:r>
      <w:r>
        <w:rPr>
          <w:rFonts w:ascii="Calibri" w:hAnsi="Calibri"/>
        </w:rPr>
        <w:t>What should be reliably true 30 days after a useful change, without presuming a specific tool?</w:t>
      </w:r>
    </w:p>
    <w:p>
      <w:pPr>
        <w:pStyle w:val="Heading2"/>
      </w:pPr>
      <w:r>
        <w:t>Facilitation rules</w:t>
      </w:r>
    </w:p>
    <w:p>
      <w:pPr>
        <w:spacing w:before="0" w:after="80" w:line="300" w:lineRule="auto"/>
        <w:numPr>
          <w:ilvl w:val="0"/>
          <w:numId w:val="10"/>
        </w:numPr>
      </w:pPr>
      <w:r>
        <w:rPr>
          <w:rFonts w:ascii="Calibri" w:hAnsi="Calibri"/>
        </w:rPr>
        <w:t>Map what happens, not what participants think should happen.</w:t>
      </w:r>
    </w:p>
    <w:p>
      <w:pPr>
        <w:spacing w:before="0" w:after="80" w:line="300" w:lineRule="auto"/>
        <w:numPr>
          <w:ilvl w:val="0"/>
          <w:numId w:val="10"/>
        </w:numPr>
      </w:pPr>
      <w:r>
        <w:rPr>
          <w:rFonts w:ascii="Calibri" w:hAnsi="Calibri"/>
        </w:rPr>
        <w:t>Use role names and workflow IDs; stop names or case details from entering the artefacts.</w:t>
      </w:r>
    </w:p>
    <w:p>
      <w:pPr>
        <w:spacing w:before="0" w:after="80" w:line="300" w:lineRule="auto"/>
        <w:numPr>
          <w:ilvl w:val="0"/>
          <w:numId w:val="10"/>
        </w:numPr>
      </w:pPr>
      <w:r>
        <w:rPr>
          <w:rFonts w:ascii="Calibri" w:hAnsi="Calibri"/>
        </w:rPr>
        <w:t>Ask for examples without collecting unnecessary data.</w:t>
      </w:r>
    </w:p>
    <w:p>
      <w:pPr>
        <w:spacing w:before="0" w:after="80" w:line="300" w:lineRule="auto"/>
        <w:numPr>
          <w:ilvl w:val="0"/>
          <w:numId w:val="10"/>
        </w:numPr>
      </w:pPr>
      <w:r>
        <w:rPr>
          <w:rFonts w:ascii="Calibri" w:hAnsi="Calibri"/>
        </w:rPr>
        <w:t>Park adjacent workflows, implementation design and compliance debates for later decisions.</w:t>
      </w:r>
    </w:p>
    <w:p>
      <w:pPr>
        <w:spacing w:before="0" w:after="80" w:line="300" w:lineRule="auto"/>
        <w:numPr>
          <w:ilvl w:val="0"/>
          <w:numId w:val="10"/>
        </w:numPr>
      </w:pPr>
      <w:r>
        <w:rPr>
          <w:rFonts w:ascii="Calibri" w:hAnsi="Calibri"/>
        </w:rPr>
        <w:t>Do not let the most senior attendee silently define every step; test with the people who perform the work.</w:t>
      </w:r>
    </w:p>
    <w:p>
      <w:pPr>
        <w:spacing w:before="0" w:after="80" w:line="300" w:lineRule="auto"/>
        <w:numPr>
          <w:ilvl w:val="0"/>
          <w:numId w:val="10"/>
        </w:numPr>
      </w:pPr>
      <w:r>
        <w:rPr>
          <w:rFonts w:ascii="Calibri" w:hAnsi="Calibri"/>
        </w:rPr>
        <w:t>Read back disagreements and record them as unresolved until the Client Project Owner confirms the fact.</w:t>
      </w:r>
    </w:p>
    <w:p>
      <w:pPr>
        <w:spacing w:before="0" w:after="80" w:line="300" w:lineRule="auto"/>
        <w:numPr>
          <w:ilvl w:val="0"/>
          <w:numId w:val="10"/>
        </w:numPr>
      </w:pPr>
      <w:r>
        <w:rPr>
          <w:rFonts w:ascii="Calibri" w:hAnsi="Calibri"/>
        </w:rPr>
        <w:t>Do not record the meeting unless expressly agreed and lawfully authorised under an approved handling plan.</w:t>
      </w:r>
    </w:p>
    <w:p>
      <w:pPr>
        <w:pStyle w:val="Heading1"/>
      </w:pPr>
      <w:r>
        <w:t>8. Stage 5 - Current-state analysis</w:t>
      </w:r>
    </w:p>
    <w:p>
      <w:pPr>
        <w:spacing w:before="0" w:after="80" w:line="300" w:lineRule="auto"/>
        <w:numPr>
          <w:ilvl w:val="0"/>
          <w:numId w:val="11"/>
        </w:numPr>
      </w:pPr>
      <w:r>
        <w:rPr>
          <w:rFonts w:ascii="Calibri" w:hAnsi="Calibri"/>
        </w:rPr>
        <w:t>Convert workshop notes into sequential step IDs and one normal-path map.</w:t>
      </w:r>
    </w:p>
    <w:p>
      <w:pPr>
        <w:spacing w:before="0" w:after="80" w:line="300" w:lineRule="auto"/>
        <w:numPr>
          <w:ilvl w:val="0"/>
          <w:numId w:val="11"/>
        </w:numPr>
      </w:pPr>
      <w:r>
        <w:rPr>
          <w:rFonts w:ascii="Calibri" w:hAnsi="Calibri"/>
        </w:rPr>
        <w:t>Add decision branches and material exception paths only when they affect the finding or recommendation.</w:t>
      </w:r>
    </w:p>
    <w:p>
      <w:pPr>
        <w:spacing w:before="0" w:after="80" w:line="300" w:lineRule="auto"/>
        <w:numPr>
          <w:ilvl w:val="0"/>
          <w:numId w:val="11"/>
        </w:numPr>
      </w:pPr>
      <w:r>
        <w:rPr>
          <w:rFonts w:ascii="Calibri" w:hAnsi="Calibri"/>
        </w:rPr>
        <w:t>For every step, record role, input, activity, system/location, output, handover, control and evidence source.</w:t>
      </w:r>
    </w:p>
    <w:p>
      <w:pPr>
        <w:spacing w:before="0" w:after="80" w:line="300" w:lineRule="auto"/>
        <w:numPr>
          <w:ilvl w:val="0"/>
          <w:numId w:val="11"/>
        </w:numPr>
      </w:pPr>
      <w:r>
        <w:rPr>
          <w:rFonts w:ascii="Calibri" w:hAnsi="Calibri"/>
        </w:rPr>
        <w:t>Mark pain points with a unique ID and link them to the affected step rather than floating comments.</w:t>
      </w:r>
    </w:p>
    <w:p>
      <w:pPr>
        <w:spacing w:before="0" w:after="80" w:line="300" w:lineRule="auto"/>
        <w:numPr>
          <w:ilvl w:val="0"/>
          <w:numId w:val="11"/>
        </w:numPr>
      </w:pPr>
      <w:r>
        <w:rPr>
          <w:rFonts w:ascii="Calibri" w:hAnsi="Calibri"/>
        </w:rPr>
        <w:t>Separate observed facts, client claims, estimates, analyst assumptions and recommendations.</w:t>
      </w:r>
    </w:p>
    <w:p>
      <w:pPr>
        <w:spacing w:before="0" w:after="80" w:line="300" w:lineRule="auto"/>
        <w:numPr>
          <w:ilvl w:val="0"/>
          <w:numId w:val="11"/>
        </w:numPr>
      </w:pPr>
      <w:r>
        <w:rPr>
          <w:rFonts w:ascii="Calibri" w:hAnsi="Calibri"/>
        </w:rPr>
        <w:t>Validate the factual current state with the Client Project Owner before treating the map as confirmed.</w:t>
      </w:r>
    </w:p>
    <w:p>
      <w:pPr>
        <w:pStyle w:val="Heading2"/>
      </w:pPr>
      <w:r>
        <w:t>Root-cause lens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7060"/>
      </w:tblGrid>
      <w:tr>
        <w:trPr>
          <w:tblHeader w:val="true"/>
          <w:cantSplit/>
        </w:trPr>
        <w:tc>
          <w:tcPr>
            <w:tcW w:type="dxa" w:w="2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8"/>
              </w:rPr>
              <w:t>Lens</w:t>
            </w:r>
          </w:p>
        </w:tc>
        <w:tc>
          <w:tcPr>
            <w:tcW w:type="dxa" w:w="70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8"/>
              </w:rPr>
              <w:t>Diagnostic question</w:t>
            </w:r>
          </w:p>
        </w:tc>
      </w:tr>
      <w:tr>
        <w:trPr>
          <w:cantSplit/>
        </w:trPr>
        <w:tc>
          <w:tcPr>
            <w:tcW w:type="dxa" w:w="23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People and ownership</w:t>
            </w:r>
          </w:p>
        </w:tc>
        <w:tc>
          <w:tcPr>
            <w:tcW w:type="dxa" w:w="70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Is responsibility clear, authorised and resilient when a person is absent?</w:t>
            </w:r>
          </w:p>
        </w:tc>
      </w:tr>
      <w:tr>
        <w:trPr>
          <w:cantSplit/>
        </w:trPr>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Process</w:t>
            </w:r>
          </w:p>
        </w:tc>
        <w:tc>
          <w:tcPr>
            <w:tcW w:type="dxa" w:w="70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Are steps necessary, sequenced and governed by a clear rule?</w:t>
            </w:r>
          </w:p>
        </w:tc>
      </w:tr>
      <w:tr>
        <w:trPr>
          <w:cantSplit/>
        </w:trPr>
        <w:tc>
          <w:tcPr>
            <w:tcW w:type="dxa" w:w="23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Information</w:t>
            </w:r>
          </w:p>
        </w:tc>
        <w:tc>
          <w:tcPr>
            <w:tcW w:type="dxa" w:w="70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Is the required information complete, current, findable and entered once?</w:t>
            </w:r>
          </w:p>
        </w:tc>
      </w:tr>
      <w:tr>
        <w:trPr>
          <w:cantSplit/>
        </w:trPr>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Systems</w:t>
            </w:r>
          </w:p>
        </w:tc>
        <w:tc>
          <w:tcPr>
            <w:tcW w:type="dxa" w:w="70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Do tools support the process, or create duplicate entry and fragmented status?</w:t>
            </w:r>
          </w:p>
        </w:tc>
      </w:tr>
      <w:tr>
        <w:trPr>
          <w:cantSplit/>
        </w:trPr>
        <w:tc>
          <w:tcPr>
            <w:tcW w:type="dxa" w:w="23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Controls</w:t>
            </w:r>
          </w:p>
        </w:tc>
        <w:tc>
          <w:tcPr>
            <w:tcW w:type="dxa" w:w="70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Are approvals, privacy, human review, monitoring and exception handling proportionate?</w:t>
            </w:r>
          </w:p>
        </w:tc>
      </w:tr>
    </w:tbl>
    <w:p>
      <w:pPr>
        <w:spacing w:after="20"/>
      </w:pPr>
    </w:p>
    <w:p>
      <w:pPr>
        <w:pStyle w:val="Heading1"/>
      </w:pPr>
      <w:r>
        <w:t>9. Stage 6 - Opportunity assessment and future state</w:t>
      </w:r>
    </w:p>
    <w:p>
      <w:r>
        <w:rPr>
          <w:rFonts w:ascii="Calibri" w:hAnsi="Calibri"/>
          <w:i w:val="0"/>
          <w:color w:val="20262E"/>
        </w:rPr>
        <w:t>Create one opportunity for each distinct change. Do not combine a policy clarification, tracker redesign and automation build into one line item.</w:t>
      </w:r>
    </w:p>
    <w:p>
      <w:pPr>
        <w:pStyle w:val="Heading2"/>
      </w:pPr>
      <w:r>
        <w:t>Scoring model</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100"/>
        <w:gridCol w:w="900"/>
        <w:gridCol w:w="2100"/>
        <w:gridCol w:w="2130"/>
        <w:gridCol w:w="2130"/>
      </w:tblGrid>
      <w:tr>
        <w:trPr>
          <w:tblHeader w:val="true"/>
          <w:cantSplit/>
        </w:trPr>
        <w:tc>
          <w:tcPr>
            <w:tcW w:type="dxa" w:w="21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Criterion</w:t>
            </w:r>
          </w:p>
        </w:tc>
        <w:tc>
          <w:tcPr>
            <w:tcW w:type="dxa" w:w="9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Weight</w:t>
            </w:r>
          </w:p>
        </w:tc>
        <w:tc>
          <w:tcPr>
            <w:tcW w:type="dxa" w:w="21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Score 1</w:t>
            </w:r>
          </w:p>
        </w:tc>
        <w:tc>
          <w:tcPr>
            <w:tcW w:type="dxa" w:w="213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Score 3</w:t>
            </w:r>
          </w:p>
        </w:tc>
        <w:tc>
          <w:tcPr>
            <w:tcW w:type="dxa" w:w="213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Score 5</w:t>
            </w:r>
          </w:p>
        </w:tc>
      </w:tr>
      <w:tr>
        <w:trPr>
          <w:cantSplit/>
        </w:trPr>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Operational benefit</w:t>
            </w:r>
          </w:p>
        </w:tc>
        <w:tc>
          <w:tcPr>
            <w:tcW w:type="dxa" w:w="9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30%</w:t>
            </w:r>
          </w:p>
        </w:tc>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Minor local improvement</w:t>
            </w:r>
          </w:p>
        </w:tc>
        <w:tc>
          <w:tcPr>
            <w:tcW w:type="dxa" w:w="213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Material team improvement</w:t>
            </w:r>
          </w:p>
        </w:tc>
        <w:tc>
          <w:tcPr>
            <w:tcW w:type="dxa" w:w="213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Critical end-to-end improvement</w:t>
            </w:r>
          </w:p>
        </w:tc>
      </w:tr>
      <w:tr>
        <w:trPr>
          <w:cantSplit/>
        </w:trPr>
        <w:tc>
          <w:tcPr>
            <w:tcW w:type="dxa" w:w="2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Risk reduction</w:t>
            </w:r>
          </w:p>
        </w:tc>
        <w:tc>
          <w:tcPr>
            <w:tcW w:type="dxa" w:w="9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20%</w:t>
            </w:r>
          </w:p>
        </w:tc>
        <w:tc>
          <w:tcPr>
            <w:tcW w:type="dxa" w:w="2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Little control value</w:t>
            </w:r>
          </w:p>
        </w:tc>
        <w:tc>
          <w:tcPr>
            <w:tcW w:type="dxa" w:w="213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Reduces a known weakness</w:t>
            </w:r>
          </w:p>
        </w:tc>
        <w:tc>
          <w:tcPr>
            <w:tcW w:type="dxa" w:w="213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Addresses material repeatable risk</w:t>
            </w:r>
          </w:p>
        </w:tc>
      </w:tr>
      <w:tr>
        <w:trPr>
          <w:cantSplit/>
        </w:trPr>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Feasibility</w:t>
            </w:r>
          </w:p>
        </w:tc>
        <w:tc>
          <w:tcPr>
            <w:tcW w:type="dxa" w:w="9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20%</w:t>
            </w:r>
          </w:p>
        </w:tc>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Major dependency / complexity</w:t>
            </w:r>
          </w:p>
        </w:tc>
        <w:tc>
          <w:tcPr>
            <w:tcW w:type="dxa" w:w="213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Manageable dependencies</w:t>
            </w:r>
          </w:p>
        </w:tc>
        <w:tc>
          <w:tcPr>
            <w:tcW w:type="dxa" w:w="213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Simple with current capability</w:t>
            </w:r>
          </w:p>
        </w:tc>
      </w:tr>
      <w:tr>
        <w:trPr>
          <w:cantSplit/>
        </w:trPr>
        <w:tc>
          <w:tcPr>
            <w:tcW w:type="dxa" w:w="2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Evidence confidence</w:t>
            </w:r>
          </w:p>
        </w:tc>
        <w:tc>
          <w:tcPr>
            <w:tcW w:type="dxa" w:w="9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15%</w:t>
            </w:r>
          </w:p>
        </w:tc>
        <w:tc>
          <w:tcPr>
            <w:tcW w:type="dxa" w:w="21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Mostly assumption</w:t>
            </w:r>
          </w:p>
        </w:tc>
        <w:tc>
          <w:tcPr>
            <w:tcW w:type="dxa" w:w="213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Some corroboration</w:t>
            </w:r>
          </w:p>
        </w:tc>
        <w:tc>
          <w:tcPr>
            <w:tcW w:type="dxa" w:w="213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Strong direct evidence</w:t>
            </w:r>
          </w:p>
        </w:tc>
      </w:tr>
      <w:tr>
        <w:trPr>
          <w:cantSplit/>
        </w:trPr>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Strategic fit</w:t>
            </w:r>
          </w:p>
        </w:tc>
        <w:tc>
          <w:tcPr>
            <w:tcW w:type="dxa" w:w="9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15%</w:t>
            </w:r>
          </w:p>
        </w:tc>
        <w:tc>
          <w:tcPr>
            <w:tcW w:type="dxa" w:w="21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Peripheral</w:t>
            </w:r>
          </w:p>
        </w:tc>
        <w:tc>
          <w:tcPr>
            <w:tcW w:type="dxa" w:w="213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Supports a stated priority</w:t>
            </w:r>
          </w:p>
        </w:tc>
        <w:tc>
          <w:tcPr>
            <w:tcW w:type="dxa" w:w="213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Directly enables the desired outcome</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FF4CE"/>
          <w:left w:val="single" w:sz="2" w:space="0" w:color="FFF4CE"/>
          <w:bottom w:val="single" w:sz="2" w:space="0" w:color="FFF4CE"/>
          <w:right w:val="single" w:sz="2" w:space="0" w:color="FFF4CE"/>
          <w:insideH w:val="single" w:sz="2" w:space="0" w:color="FFF4CE"/>
          <w:insideV w:val="single" w:sz="2" w:space="0" w:color="FFF4CE"/>
        </w:tblBorders>
      </w:tblPr>
      <w:tblGrid>
        <w:gridCol w:w="9360"/>
      </w:tblGrid>
      <w:tr>
        <w:trPr>
          <w:cantSplit/>
        </w:trPr>
        <w:tc>
          <w:tcPr>
            <w:tcW w:type="dxa" w:w="9360"/>
            <w:shd w:fill="FFF4CE"/>
            <w:vAlign w:val="center"/>
            <w:tcMar>
              <w:top w:w="80" w:type="dxa"/>
              <w:start w:w="120" w:type="dxa"/>
              <w:bottom w:w="80" w:type="dxa"/>
              <w:end w:w="120" w:type="dxa"/>
            </w:tcMar>
          </w:tcPr>
          <w:p>
            <w:pPr>
              <w:spacing w:after="0"/>
            </w:pPr>
            <w:r>
              <w:rPr>
                <w:rFonts w:ascii="Calibri" w:hAnsi="Calibri"/>
                <w:b/>
                <w:color w:val="17324D"/>
                <w:sz w:val="20"/>
              </w:rPr>
              <w:t xml:space="preserve">Use judgement: </w:t>
            </w:r>
            <w:r>
              <w:rPr>
                <w:rFonts w:ascii="Calibri" w:hAnsi="Calibri"/>
                <w:color w:val="20262E"/>
                <w:sz w:val="20"/>
              </w:rPr>
              <w:t>The weighted score supports ordering; it does not replace judgement. Record dependencies, data/security gates, change impact and confidence. A high score with an unresolved control issue cannot be treated as ready to implement.</w:t>
            </w:r>
          </w:p>
        </w:tc>
      </w:tr>
    </w:tbl>
    <w:p>
      <w:pPr>
        <w:spacing w:after="20"/>
      </w:pPr>
    </w:p>
    <w:p>
      <w:pPr>
        <w:pStyle w:val="Heading2"/>
      </w:pPr>
      <w:r>
        <w:t>Future-state design rules</w:t>
      </w:r>
    </w:p>
    <w:p>
      <w:pPr>
        <w:spacing w:before="0" w:after="80" w:line="300" w:lineRule="auto"/>
        <w:numPr>
          <w:ilvl w:val="0"/>
          <w:numId w:val="10"/>
        </w:numPr>
      </w:pPr>
      <w:r>
        <w:rPr>
          <w:rFonts w:ascii="Calibri" w:hAnsi="Calibri"/>
        </w:rPr>
        <w:t>Remove or combine unnecessary steps before automating them.</w:t>
      </w:r>
    </w:p>
    <w:p>
      <w:pPr>
        <w:spacing w:before="0" w:after="80" w:line="300" w:lineRule="auto"/>
        <w:numPr>
          <w:ilvl w:val="0"/>
          <w:numId w:val="10"/>
        </w:numPr>
      </w:pPr>
      <w:r>
        <w:rPr>
          <w:rFonts w:ascii="Calibri" w:hAnsi="Calibri"/>
        </w:rPr>
        <w:t>Assign one accountable owner and make the next action visible.</w:t>
      </w:r>
    </w:p>
    <w:p>
      <w:pPr>
        <w:spacing w:before="0" w:after="80" w:line="300" w:lineRule="auto"/>
        <w:numPr>
          <w:ilvl w:val="0"/>
          <w:numId w:val="10"/>
        </w:numPr>
      </w:pPr>
      <w:r>
        <w:rPr>
          <w:rFonts w:ascii="Calibri" w:hAnsi="Calibri"/>
        </w:rPr>
        <w:t>Capture information once at the earliest reliable point.</w:t>
      </w:r>
    </w:p>
    <w:p>
      <w:pPr>
        <w:spacing w:before="0" w:after="80" w:line="300" w:lineRule="auto"/>
        <w:numPr>
          <w:ilvl w:val="0"/>
          <w:numId w:val="10"/>
        </w:numPr>
      </w:pPr>
      <w:r>
        <w:rPr>
          <w:rFonts w:ascii="Calibri" w:hAnsi="Calibri"/>
        </w:rPr>
        <w:t>Use a single source of truth for status where practical.</w:t>
      </w:r>
    </w:p>
    <w:p>
      <w:pPr>
        <w:spacing w:before="0" w:after="80" w:line="300" w:lineRule="auto"/>
        <w:numPr>
          <w:ilvl w:val="0"/>
          <w:numId w:val="10"/>
        </w:numPr>
      </w:pPr>
      <w:r>
        <w:rPr>
          <w:rFonts w:ascii="Calibri" w:hAnsi="Calibri"/>
        </w:rPr>
        <w:t>Make exceptions, ageing and overdue actions visible.</w:t>
      </w:r>
    </w:p>
    <w:p>
      <w:pPr>
        <w:spacing w:before="0" w:after="80" w:line="300" w:lineRule="auto"/>
        <w:numPr>
          <w:ilvl w:val="0"/>
          <w:numId w:val="10"/>
        </w:numPr>
      </w:pPr>
      <w:r>
        <w:rPr>
          <w:rFonts w:ascii="Calibri" w:hAnsi="Calibri"/>
        </w:rPr>
        <w:t>Keep human judgement for clinical, participant, employment, legal and material operational decisions.</w:t>
      </w:r>
    </w:p>
    <w:p>
      <w:pPr>
        <w:spacing w:before="0" w:after="80" w:line="300" w:lineRule="auto"/>
        <w:numPr>
          <w:ilvl w:val="0"/>
          <w:numId w:val="10"/>
        </w:numPr>
      </w:pPr>
      <w:r>
        <w:rPr>
          <w:rFonts w:ascii="Calibri" w:hAnsi="Calibri"/>
        </w:rPr>
        <w:t>Minimise data and restrict access by role.</w:t>
      </w:r>
    </w:p>
    <w:p>
      <w:pPr>
        <w:spacing w:before="0" w:after="80" w:line="300" w:lineRule="auto"/>
        <w:numPr>
          <w:ilvl w:val="0"/>
          <w:numId w:val="10"/>
        </w:numPr>
      </w:pPr>
      <w:r>
        <w:rPr>
          <w:rFonts w:ascii="Calibri" w:hAnsi="Calibri"/>
        </w:rPr>
        <w:t>Prefer configuration of approved existing tools before custom build.</w:t>
      </w:r>
    </w:p>
    <w:p>
      <w:pPr>
        <w:spacing w:before="0" w:after="80" w:line="300" w:lineRule="auto"/>
        <w:numPr>
          <w:ilvl w:val="0"/>
          <w:numId w:val="10"/>
        </w:numPr>
      </w:pPr>
      <w:r>
        <w:rPr>
          <w:rFonts w:ascii="Calibri" w:hAnsi="Calibri"/>
        </w:rPr>
        <w:t>Use AI only for an approved assistive use case with defined inputs, output review and accountability.</w:t>
      </w:r>
    </w:p>
    <w:p>
      <w:pPr>
        <w:spacing w:before="0" w:after="80" w:line="300" w:lineRule="auto"/>
        <w:numPr>
          <w:ilvl w:val="0"/>
          <w:numId w:val="10"/>
        </w:numPr>
      </w:pPr>
      <w:r>
        <w:rPr>
          <w:rFonts w:ascii="Calibri" w:hAnsi="Calibri"/>
        </w:rPr>
        <w:t>Allow 'no technology change' when ownership, rules or process are the real constraint.</w:t>
      </w:r>
    </w:p>
    <w:p>
      <w:pPr>
        <w:pStyle w:val="Heading1"/>
      </w:pPr>
      <w:r>
        <w:t>10. Stage 7 - Draft the deliverables</w:t>
      </w:r>
    </w:p>
    <w:tbl>
      <w:tblPr>
        <w:tblW w:type="dxa" w:w="9360"/>
        <w:jc w:val="left"/>
        <w:tblLayout w:type="fixed"/>
        <w:tblLook w:firstColumn="1" w:firstRow="1" w:lastColumn="0" w:lastRow="0" w:noHBand="0" w:noVBand="1" w:val="04A0"/>
        <w:tblInd w:type="dxa" w:w="120"/>
        <w:tblBorders>
          <w:top w:val="single" w:sz="3" w:space="0" w:color="F2F4F7"/>
          <w:left w:val="single" w:sz="3" w:space="0" w:color="F2F4F7"/>
          <w:bottom w:val="single" w:sz="3" w:space="0" w:color="F2F4F7"/>
          <w:right w:val="single" w:sz="3" w:space="0" w:color="F2F4F7"/>
          <w:insideH w:val="single" w:sz="3" w:space="0" w:color="F2F4F7"/>
          <w:insideV w:val="single" w:sz="3" w:space="0" w:color="F2F4F7"/>
        </w:tblBorders>
      </w:tblPr>
      <w:tblGrid>
        <w:gridCol w:w="600"/>
        <w:gridCol w:w="8760"/>
      </w:tblGrid>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Current-state map uses the same workflow boundary and step IDs as the workbook and report.</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Future-state map shows changed steps, ownership, controls, information and handovers.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Every material pain point has evidence, an impact statement and a root-cause hypothesis.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Every recommendation links to one or more findings and includes rationale, dependencies and a high-level option.</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Costs, savings or time benefits are not claimed unless client evidence and assumptions are shown.</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The report states exclusions, data limitations, unresolved questions and confidence.</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The deck is a clear readout, not a second report; it focuses on decisions and next steps.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Editable source files and issue formats are stored in the agreed location with correct version labels.</w:t>
            </w:r>
          </w:p>
        </w:tc>
      </w:tr>
    </w:tbl>
    <w:p>
      <w:pPr>
        <w:spacing w:after="20"/>
      </w:pPr>
    </w:p>
    <w:p>
      <w:pPr>
        <w:pStyle w:val="Heading1"/>
      </w:pPr>
      <w:r>
        <w:t>11. Stage 8 - Internal quality review</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7460"/>
      </w:tblGrid>
      <w:tr>
        <w:trPr>
          <w:tblHeader w:val="true"/>
          <w:cantSplit/>
        </w:trPr>
        <w:tc>
          <w:tcPr>
            <w:tcW w:type="dxa" w:w="19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8"/>
              </w:rPr>
              <w:t>QA area</w:t>
            </w:r>
          </w:p>
        </w:tc>
        <w:tc>
          <w:tcPr>
            <w:tcW w:type="dxa" w:w="74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8"/>
              </w:rPr>
              <w:t>Pass condition</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Scope</w:t>
            </w:r>
          </w:p>
        </w:tc>
        <w:tc>
          <w:tcPr>
            <w:tcW w:type="dxa" w:w="74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One workflow; correct start/end; exclusions and special conditions honoured.</w:t>
            </w:r>
          </w:p>
        </w:tc>
      </w:tr>
      <w:tr>
        <w:trPr>
          <w:cantSplit/>
        </w:trPr>
        <w:tc>
          <w:tcPr>
            <w:tcW w:type="dxa" w:w="19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Evidence</w:t>
            </w:r>
          </w:p>
        </w:tc>
        <w:tc>
          <w:tcPr>
            <w:tcW w:type="dxa" w:w="74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Findings are traceable; contradictions and confidence are visible; no unsupported certainty.</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Logic</w:t>
            </w:r>
          </w:p>
        </w:tc>
        <w:tc>
          <w:tcPr>
            <w:tcW w:type="dxa" w:w="74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Root causes explain findings; recommendations address causes; priorities follow the recorded model.</w:t>
            </w:r>
          </w:p>
        </w:tc>
      </w:tr>
      <w:tr>
        <w:trPr>
          <w:cantSplit/>
        </w:trPr>
        <w:tc>
          <w:tcPr>
            <w:tcW w:type="dxa" w:w="19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Consistency</w:t>
            </w:r>
          </w:p>
        </w:tc>
        <w:tc>
          <w:tcPr>
            <w:tcW w:type="dxa" w:w="74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Workbook, maps, report and deck use the same IDs, terms, facts, priorities and next steps.</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Privacy</w:t>
            </w:r>
          </w:p>
        </w:tc>
        <w:tc>
          <w:tcPr>
            <w:tcW w:type="dxa" w:w="74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No unnecessary identifiers; correct repository, access and AI settings; approved data only.</w:t>
            </w:r>
          </w:p>
        </w:tc>
      </w:tr>
      <w:tr>
        <w:trPr>
          <w:cantSplit/>
        </w:trPr>
        <w:tc>
          <w:tcPr>
            <w:tcW w:type="dxa" w:w="19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Boundary</w:t>
            </w:r>
          </w:p>
        </w:tc>
        <w:tc>
          <w:tcPr>
            <w:tcW w:type="dxa" w:w="74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No clinical, legal, tax, employment, regulatory, audit, registration or compliance assurance claims.</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Usability</w:t>
            </w:r>
          </w:p>
        </w:tc>
        <w:tc>
          <w:tcPr>
            <w:tcW w:type="dxa" w:w="74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Client can understand ownership, decision, dependency and immediate next action.</w:t>
            </w:r>
          </w:p>
        </w:tc>
      </w:tr>
      <w:tr>
        <w:trPr>
          <w:cantSplit/>
        </w:trPr>
        <w:tc>
          <w:tcPr>
            <w:tcW w:type="dxa" w:w="19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8"/>
              </w:rPr>
              <w:t>Acceptance</w:t>
            </w:r>
          </w:p>
        </w:tc>
        <w:tc>
          <w:tcPr>
            <w:tcW w:type="dxa" w:w="74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Each Order Form acceptance criterion is demonstrably met.</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E8F3EC"/>
          <w:left w:val="single" w:sz="2" w:space="0" w:color="E8F3EC"/>
          <w:bottom w:val="single" w:sz="2" w:space="0" w:color="E8F3EC"/>
          <w:right w:val="single" w:sz="2" w:space="0" w:color="E8F3EC"/>
          <w:insideH w:val="single" w:sz="2" w:space="0" w:color="E8F3EC"/>
          <w:insideV w:val="single" w:sz="2" w:space="0" w:color="E8F3EC"/>
        </w:tblBorders>
      </w:tblPr>
      <w:tblGrid>
        <w:gridCol w:w="9360"/>
      </w:tblGrid>
      <w:tr>
        <w:trPr>
          <w:cantSplit/>
        </w:trPr>
        <w:tc>
          <w:tcPr>
            <w:tcW w:type="dxa" w:w="9360"/>
            <w:shd w:fill="E8F3EC"/>
            <w:vAlign w:val="center"/>
            <w:tcMar>
              <w:top w:w="80" w:type="dxa"/>
              <w:start w:w="120" w:type="dxa"/>
              <w:bottom w:w="80" w:type="dxa"/>
              <w:end w:w="120" w:type="dxa"/>
            </w:tcMar>
          </w:tcPr>
          <w:p>
            <w:pPr>
              <w:spacing w:after="0"/>
            </w:pPr>
            <w:r>
              <w:rPr>
                <w:rFonts w:ascii="Calibri" w:hAnsi="Calibri"/>
                <w:b/>
                <w:color w:val="17324D"/>
                <w:sz w:val="20"/>
              </w:rPr>
              <w:t xml:space="preserve">Reviewer sign-off: </w:t>
            </w:r>
            <w:r>
              <w:rPr>
                <w:rFonts w:ascii="Calibri" w:hAnsi="Calibri"/>
                <w:color w:val="20262E"/>
                <w:sz w:val="20"/>
              </w:rPr>
              <w:t>The author cannot close their own material issue. Record the reviewer, review date, issues raised, disposition and final issue approval in the workbook.</w:t>
            </w:r>
          </w:p>
        </w:tc>
      </w:tr>
    </w:tbl>
    <w:p>
      <w:pPr>
        <w:spacing w:after="20"/>
      </w:pPr>
    </w:p>
    <w:p>
      <w:pPr>
        <w:pStyle w:val="Heading1"/>
      </w:pPr>
      <w:r>
        <w:t>12. Stage 9 - Findings presentation</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000"/>
        <w:gridCol w:w="2300"/>
        <w:gridCol w:w="6060"/>
      </w:tblGrid>
      <w:tr>
        <w:trPr>
          <w:tblHeader w:val="true"/>
          <w:cantSplit/>
        </w:trPr>
        <w:tc>
          <w:tcPr>
            <w:tcW w:type="dxa" w:w="10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Minutes</w:t>
            </w:r>
          </w:p>
        </w:tc>
        <w:tc>
          <w:tcPr>
            <w:tcW w:type="dxa" w:w="2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Section</w:t>
            </w:r>
          </w:p>
        </w:tc>
        <w:tc>
          <w:tcPr>
            <w:tcW w:type="dxa" w:w="60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7"/>
              </w:rPr>
              <w:t>Presenter outcome</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0-5</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Purpose and scope</w:t>
            </w:r>
          </w:p>
        </w:tc>
        <w:tc>
          <w:tcPr>
            <w:tcW w:type="dxa" w:w="60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Confirm the decision this readout supports and the workflow boundary.</w:t>
            </w:r>
          </w:p>
        </w:tc>
      </w:tr>
      <w:tr>
        <w:trPr>
          <w:cantSplit/>
        </w:trPr>
        <w:tc>
          <w:tcPr>
            <w:tcW w:type="dxa" w:w="10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5-15</w:t>
            </w:r>
          </w:p>
        </w:tc>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Current state</w:t>
            </w:r>
          </w:p>
        </w:tc>
        <w:tc>
          <w:tcPr>
            <w:tcW w:type="dxa" w:w="60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Walk the normal path, material exceptions and evidence confidence.</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15-28</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Findings</w:t>
            </w:r>
          </w:p>
        </w:tc>
        <w:tc>
          <w:tcPr>
            <w:tcW w:type="dxa" w:w="60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Explain the few root causes that create most of the friction or visibility loss.</w:t>
            </w:r>
          </w:p>
        </w:tc>
      </w:tr>
      <w:tr>
        <w:trPr>
          <w:cantSplit/>
        </w:trPr>
        <w:tc>
          <w:tcPr>
            <w:tcW w:type="dxa" w:w="10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28-40</w:t>
            </w:r>
          </w:p>
        </w:tc>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Future state</w:t>
            </w:r>
          </w:p>
        </w:tc>
        <w:tc>
          <w:tcPr>
            <w:tcW w:type="dxa" w:w="60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Show the recommended workflow and where ownership, controls or tools change.</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40-50</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Priorities and options</w:t>
            </w:r>
          </w:p>
        </w:tc>
        <w:tc>
          <w:tcPr>
            <w:tcW w:type="dxa" w:w="60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Compare high-level options, dependencies, risks and recommended sequence.</w:t>
            </w:r>
          </w:p>
        </w:tc>
      </w:tr>
      <w:tr>
        <w:trPr>
          <w:cantSplit/>
        </w:trPr>
        <w:tc>
          <w:tcPr>
            <w:tcW w:type="dxa" w:w="1000"/>
            <w:shd w:fill="F2F4F7"/>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50-58</w:t>
            </w:r>
          </w:p>
        </w:tc>
        <w:tc>
          <w:tcPr>
            <w:tcW w:type="dxa" w:w="2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Questions and corrections</w:t>
            </w:r>
          </w:p>
        </w:tc>
        <w:tc>
          <w:tcPr>
            <w:tcW w:type="dxa" w:w="60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Record factual corrections separately from new scope or preferences.</w:t>
            </w:r>
          </w:p>
        </w:tc>
      </w:tr>
      <w:tr>
        <w:trPr>
          <w:cantSplit/>
        </w:trPr>
        <w:tc>
          <w:tcPr>
            <w:tcW w:type="dxa" w:w="1000"/>
            <w:vAlign w:val="center"/>
            <w:tcMar>
              <w:top w:w="80" w:type="dxa"/>
              <w:start w:w="120" w:type="dxa"/>
              <w:bottom w:w="80" w:type="dxa"/>
              <w:end w:w="120" w:type="dxa"/>
            </w:tcMar>
          </w:tcPr>
          <w:p>
            <w:pPr>
              <w:spacing w:before="0" w:after="0" w:line="269" w:lineRule="auto"/>
              <w:jc w:val="left"/>
            </w:pPr>
            <w:r>
              <w:rPr>
                <w:rFonts w:ascii="Calibri" w:hAnsi="Calibri"/>
                <w:b/>
                <w:color w:val="17324D"/>
                <w:sz w:val="17"/>
              </w:rPr>
              <w:t>58-60</w:t>
            </w:r>
          </w:p>
        </w:tc>
        <w:tc>
          <w:tcPr>
            <w:tcW w:type="dxa" w:w="2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Decision and next step</w:t>
            </w:r>
          </w:p>
        </w:tc>
        <w:tc>
          <w:tcPr>
            <w:tcW w:type="dxa" w:w="60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7"/>
              </w:rPr>
              <w:t>Confirm review deadline, consolidated feedback route and acceptance process.</w:t>
            </w:r>
          </w:p>
        </w:tc>
      </w:tr>
    </w:tbl>
    <w:p>
      <w:pPr>
        <w:spacing w:after="20"/>
      </w:pPr>
    </w:p>
    <w:p>
      <w:pPr>
        <w:spacing w:before="0" w:after="80" w:line="300" w:lineRule="auto"/>
        <w:numPr>
          <w:ilvl w:val="0"/>
          <w:numId w:val="10"/>
        </w:numPr>
      </w:pPr>
      <w:r>
        <w:rPr>
          <w:rFonts w:ascii="Calibri" w:hAnsi="Calibri"/>
        </w:rPr>
        <w:t>Do not turn the readout into free solution design. Record implementation questions for a separate scope.</w:t>
      </w:r>
    </w:p>
    <w:p>
      <w:pPr>
        <w:spacing w:before="0" w:after="80" w:line="300" w:lineRule="auto"/>
        <w:numPr>
          <w:ilvl w:val="0"/>
          <w:numId w:val="10"/>
        </w:numPr>
      </w:pPr>
      <w:r>
        <w:rPr>
          <w:rFonts w:ascii="Calibri" w:hAnsi="Calibri"/>
        </w:rPr>
        <w:t>Correct factual errors promptly; distinguish them from preference changes and additional requirements.</w:t>
      </w:r>
    </w:p>
    <w:p>
      <w:pPr>
        <w:spacing w:before="0" w:after="80" w:line="300" w:lineRule="auto"/>
        <w:numPr>
          <w:ilvl w:val="0"/>
          <w:numId w:val="10"/>
        </w:numPr>
      </w:pPr>
      <w:r>
        <w:rPr>
          <w:rFonts w:ascii="Calibri" w:hAnsi="Calibri"/>
        </w:rPr>
        <w:t>Do not pressure the client into a build. A valid outcome can be process-only improvement or no project.</w:t>
      </w:r>
    </w:p>
    <w:p>
      <w:pPr>
        <w:spacing w:before="0" w:after="80" w:line="300" w:lineRule="auto"/>
        <w:numPr>
          <w:ilvl w:val="0"/>
          <w:numId w:val="10"/>
        </w:numPr>
      </w:pPr>
      <w:r>
        <w:rPr>
          <w:rFonts w:ascii="Calibri" w:hAnsi="Calibri"/>
        </w:rPr>
        <w:t>Record every material question and the owner/date for any follow-up answer.</w:t>
      </w:r>
    </w:p>
    <w:p>
      <w:pPr>
        <w:pStyle w:val="Heading1"/>
      </w:pPr>
      <w:r>
        <w:t>13. Stage 10 - Acceptance, correction and closeout</w:t>
      </w:r>
    </w:p>
    <w:p>
      <w:pPr>
        <w:spacing w:before="0" w:after="80" w:line="300" w:lineRule="auto"/>
        <w:numPr>
          <w:ilvl w:val="0"/>
          <w:numId w:val="11"/>
        </w:numPr>
      </w:pPr>
      <w:r>
        <w:rPr>
          <w:rFonts w:ascii="Calibri" w:hAnsi="Calibri"/>
        </w:rPr>
        <w:t>Issue the draft through the approved repository and start the five-business-day client review window.</w:t>
      </w:r>
    </w:p>
    <w:p>
      <w:pPr>
        <w:spacing w:before="0" w:after="80" w:line="300" w:lineRule="auto"/>
        <w:numPr>
          <w:ilvl w:val="0"/>
          <w:numId w:val="11"/>
        </w:numPr>
      </w:pPr>
      <w:r>
        <w:rPr>
          <w:rFonts w:ascii="Calibri" w:hAnsi="Calibri"/>
        </w:rPr>
        <w:t>Request one consolidated feedback response from the Client Project Owner, tied to the acceptance criteria.</w:t>
      </w:r>
    </w:p>
    <w:p>
      <w:pPr>
        <w:spacing w:before="0" w:after="80" w:line="300" w:lineRule="auto"/>
        <w:numPr>
          <w:ilvl w:val="0"/>
          <w:numId w:val="11"/>
        </w:numPr>
      </w:pPr>
      <w:r>
        <w:rPr>
          <w:rFonts w:ascii="Calibri" w:hAnsi="Calibri"/>
        </w:rPr>
        <w:t>Classify each item as factual correction, acceptance non-conformity, preference change or new scope.</w:t>
      </w:r>
    </w:p>
    <w:p>
      <w:pPr>
        <w:spacing w:before="0" w:after="80" w:line="300" w:lineRule="auto"/>
        <w:numPr>
          <w:ilvl w:val="0"/>
          <w:numId w:val="11"/>
        </w:numPr>
      </w:pPr>
      <w:r>
        <w:rPr>
          <w:rFonts w:ascii="Calibri" w:hAnsi="Calibri"/>
        </w:rPr>
        <w:t>Complete the one consolidated reasonable correction round. Use a Change Request for new scope or preference changes that require extra work.</w:t>
      </w:r>
    </w:p>
    <w:p>
      <w:pPr>
        <w:spacing w:before="0" w:after="80" w:line="300" w:lineRule="auto"/>
        <w:numPr>
          <w:ilvl w:val="0"/>
          <w:numId w:val="11"/>
        </w:numPr>
      </w:pPr>
      <w:r>
        <w:rPr>
          <w:rFonts w:ascii="Calibri" w:hAnsi="Calibri"/>
        </w:rPr>
        <w:t>Issue the final deliverables and complete Deliverable Review and Acceptance.</w:t>
      </w:r>
    </w:p>
    <w:p>
      <w:pPr>
        <w:spacing w:before="0" w:after="80" w:line="300" w:lineRule="auto"/>
        <w:numPr>
          <w:ilvl w:val="0"/>
          <w:numId w:val="11"/>
        </w:numPr>
      </w:pPr>
      <w:r>
        <w:rPr>
          <w:rFonts w:ascii="Calibri" w:hAnsi="Calibri"/>
        </w:rPr>
        <w:t>Complete Handover and Access Closure, including editable files, known limitations, open actions and access removal.</w:t>
      </w:r>
    </w:p>
    <w:p>
      <w:pPr>
        <w:spacing w:before="0" w:after="80" w:line="300" w:lineRule="auto"/>
        <w:numPr>
          <w:ilvl w:val="0"/>
          <w:numId w:val="11"/>
        </w:numPr>
      </w:pPr>
      <w:r>
        <w:rPr>
          <w:rFonts w:ascii="Calibri" w:hAnsi="Calibri"/>
        </w:rPr>
        <w:t>Return or delete project Client Data within 30 days after acceptance, subject to lawful retention and backup cycle, and record the disposition.</w:t>
      </w:r>
    </w:p>
    <w:p>
      <w:pPr>
        <w:spacing w:before="0" w:after="80" w:line="300" w:lineRule="auto"/>
        <w:numPr>
          <w:ilvl w:val="0"/>
          <w:numId w:val="11"/>
        </w:numPr>
      </w:pPr>
      <w:r>
        <w:rPr>
          <w:rFonts w:ascii="Calibri" w:hAnsi="Calibri"/>
        </w:rPr>
        <w:t>Close the project record. Any implementation proceeds only under a separately signed scope.</w:t>
      </w:r>
    </w:p>
    <w:p>
      <w:pPr>
        <w:pStyle w:val="Heading1"/>
      </w:pPr>
      <w:r>
        <w:t>14. Exception and escalation triggers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00"/>
        <w:gridCol w:w="3300"/>
        <w:gridCol w:w="3560"/>
      </w:tblGrid>
      <w:tr>
        <w:trPr>
          <w:tblHeader w:val="true"/>
          <w:cantSplit/>
        </w:trPr>
        <w:tc>
          <w:tcPr>
            <w:tcW w:type="dxa" w:w="25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Trigger</w:t>
            </w:r>
          </w:p>
        </w:tc>
        <w:tc>
          <w:tcPr>
            <w:tcW w:type="dxa" w:w="330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Immediate action</w:t>
            </w:r>
          </w:p>
        </w:tc>
        <w:tc>
          <w:tcPr>
            <w:tcW w:type="dxa" w:w="3560"/>
            <w:shd w:fill="17324D"/>
            <w:vAlign w:val="center"/>
            <w:tcMar>
              <w:top w:w="80" w:type="dxa"/>
              <w:start w:w="120" w:type="dxa"/>
              <w:bottom w:w="80" w:type="dxa"/>
              <w:end w:w="120" w:type="dxa"/>
            </w:tcMar>
          </w:tcPr>
          <w:p>
            <w:pPr>
              <w:spacing w:before="0" w:after="0" w:line="269" w:lineRule="auto"/>
              <w:jc w:val="left"/>
            </w:pPr>
            <w:r>
              <w:rPr>
                <w:rFonts w:ascii="Calibri" w:hAnsi="Calibri"/>
                <w:b/>
                <w:color w:val="FFFFFF"/>
                <w:sz w:val="16"/>
              </w:rPr>
              <w:t>Required control</w:t>
            </w:r>
          </w:p>
        </w:tc>
      </w:tr>
      <w:tr>
        <w:trPr>
          <w:cantSplit/>
        </w:trPr>
        <w:tc>
          <w:tcPr>
            <w:tcW w:type="dxa" w:w="2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Identifiable or sensitive data received</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Stop review; restrict access; notify Privacy / Security Reviewer.</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Document handling decision and obtain authorisation or secure deletion.</w:t>
            </w:r>
          </w:p>
        </w:tc>
      </w:tr>
      <w:tr>
        <w:trPr>
          <w:cantSplit/>
        </w:trPr>
        <w:tc>
          <w:tcPr>
            <w:tcW w:type="dxa" w:w="2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Production access requested</w:t>
            </w:r>
          </w:p>
        </w:tc>
        <w:tc>
          <w:tcPr>
            <w:tcW w:type="dxa" w:w="3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Do not access.</w:t>
            </w:r>
          </w:p>
        </w:tc>
        <w:tc>
          <w:tcPr>
            <w:tcW w:type="dxa" w:w="35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Signed Data and System Access Authorisation and appropriate scope.</w:t>
            </w:r>
          </w:p>
        </w:tc>
      </w:tr>
      <w:tr>
        <w:trPr>
          <w:cantSplit/>
        </w:trPr>
        <w:tc>
          <w:tcPr>
            <w:tcW w:type="dxa" w:w="2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Client asks for AI use</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Do not upload or test client information.</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Signed AI Use Case Approval with tool, data, purpose and human reviewer.</w:t>
            </w:r>
          </w:p>
        </w:tc>
      </w:tr>
      <w:tr>
        <w:trPr>
          <w:cantSplit/>
        </w:trPr>
        <w:tc>
          <w:tcPr>
            <w:tcW w:type="dxa" w:w="2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More than 5 documents / 50 pages</w:t>
            </w:r>
          </w:p>
        </w:tc>
        <w:tc>
          <w:tcPr>
            <w:tcW w:type="dxa" w:w="3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Pause excess review.</w:t>
            </w:r>
          </w:p>
        </w:tc>
        <w:tc>
          <w:tcPr>
            <w:tcW w:type="dxa" w:w="35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Change Request or client selects the priority evidence set.</w:t>
            </w:r>
          </w:p>
        </w:tc>
      </w:tr>
      <w:tr>
        <w:trPr>
          <w:cantSplit/>
        </w:trPr>
        <w:tc>
          <w:tcPr>
            <w:tcW w:type="dxa" w:w="2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Scope expands beyond one workflow</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Return to contracted boundary.</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Change Request or separate diagnostic.</w:t>
            </w:r>
          </w:p>
        </w:tc>
      </w:tr>
      <w:tr>
        <w:trPr>
          <w:cantSplit/>
        </w:trPr>
        <w:tc>
          <w:tcPr>
            <w:tcW w:type="dxa" w:w="2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Late client dependency</w:t>
            </w:r>
          </w:p>
        </w:tc>
        <w:tc>
          <w:tcPr>
            <w:tcW w:type="dxa" w:w="3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Record impact and notify client.</w:t>
            </w:r>
          </w:p>
        </w:tc>
        <w:tc>
          <w:tcPr>
            <w:tcW w:type="dxa" w:w="35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Revised target dates; minimise avoidable delay.</w:t>
            </w:r>
          </w:p>
        </w:tc>
      </w:tr>
      <w:tr>
        <w:trPr>
          <w:cantSplit/>
        </w:trPr>
        <w:tc>
          <w:tcPr>
            <w:tcW w:type="dxa" w:w="25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Clinical / compliance conclusion requested</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Decline the conclusion and reframe operationally.</w:t>
            </w:r>
          </w:p>
        </w:tc>
        <w:tc>
          <w:tcPr>
            <w:tcW w:type="dxa" w:w="35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Separate qualified service if Heutrix later authorises one.</w:t>
            </w:r>
          </w:p>
        </w:tc>
      </w:tr>
      <w:tr>
        <w:trPr>
          <w:cantSplit/>
        </w:trPr>
        <w:tc>
          <w:tcPr>
            <w:tcW w:type="dxa" w:w="25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Security or privacy incident suspected</w:t>
            </w:r>
          </w:p>
        </w:tc>
        <w:tc>
          <w:tcPr>
            <w:tcW w:type="dxa" w:w="330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Contain and notify immediately.</w:t>
            </w:r>
          </w:p>
        </w:tc>
        <w:tc>
          <w:tcPr>
            <w:tcW w:type="dxa" w:w="3560"/>
            <w:shd w:fill="F2F4F7"/>
            <w:vAlign w:val="center"/>
            <w:tcMar>
              <w:top w:w="80" w:type="dxa"/>
              <w:start w:w="120" w:type="dxa"/>
              <w:bottom w:w="80" w:type="dxa"/>
              <w:end w:w="120" w:type="dxa"/>
            </w:tcMar>
          </w:tcPr>
          <w:p>
            <w:pPr>
              <w:spacing w:before="0" w:after="0" w:line="269" w:lineRule="auto"/>
              <w:jc w:val="left"/>
            </w:pPr>
            <w:r>
              <w:rPr>
                <w:rFonts w:ascii="Calibri" w:hAnsi="Calibri"/>
                <w:b w:val="0"/>
                <w:color w:val="20262E"/>
                <w:sz w:val="16"/>
              </w:rPr>
              <w:t>Follow the CSA incident process and applicable legal advice.</w:t>
            </w:r>
          </w:p>
        </w:tc>
      </w:tr>
    </w:tbl>
    <w:p>
      <w:pPr>
        <w:spacing w:after="20"/>
      </w:pPr>
    </w:p>
    <w:p>
      <w:pPr>
        <w:pStyle w:val="Heading1"/>
      </w:pPr>
      <w:r>
        <w:t>15. Delivery completion checklist</w:t>
      </w:r>
    </w:p>
    <w:tbl>
      <w:tblPr>
        <w:tblW w:type="dxa" w:w="9360"/>
        <w:jc w:val="left"/>
        <w:tblLayout w:type="fixed"/>
        <w:tblLook w:firstColumn="1" w:firstRow="1" w:lastColumn="0" w:lastRow="0" w:noHBand="0" w:noVBand="1" w:val="04A0"/>
        <w:tblInd w:type="dxa" w:w="120"/>
        <w:tblBorders>
          <w:top w:val="single" w:sz="3" w:space="0" w:color="F2F4F7"/>
          <w:left w:val="single" w:sz="3" w:space="0" w:color="F2F4F7"/>
          <w:bottom w:val="single" w:sz="3" w:space="0" w:color="F2F4F7"/>
          <w:right w:val="single" w:sz="3" w:space="0" w:color="F2F4F7"/>
          <w:insideH w:val="single" w:sz="3" w:space="0" w:color="F2F4F7"/>
          <w:insideV w:val="single" w:sz="3" w:space="0" w:color="F2F4F7"/>
        </w:tblBorders>
      </w:tblPr>
      <w:tblGrid>
        <w:gridCol w:w="600"/>
        <w:gridCol w:w="8760"/>
      </w:tblGrid>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Signed contract, payment and project setup evidence are filed.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Kickoff and data-handling settings are complete.</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Evidence register is complete and within scope limits.</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Workshop attendance, notes, playback and open questions are recorded.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Current-state facts are validated by the Client Project Owner.</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Current-state map, future-state map, opportunity list, report and deck are complete.</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Internal QA issues are resolved and reviewer sign-off is recorded.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Findings presentation and material questions are recorded.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Consolidated correction round is completed or waived.</w:t>
            </w:r>
          </w:p>
        </w:tc>
      </w:tr>
      <w:tr>
        <w:trPr>
          <w:cantSplit/>
        </w:trPr>
        <w:tc>
          <w:tcPr>
            <w:tcW w:type="dxa" w:w="600"/>
            <w:vAlign w:val="center"/>
            <w:tcMar>
              <w:top w:w="80" w:type="dxa"/>
              <w:start w:w="120" w:type="dxa"/>
              <w:bottom w:w="80" w:type="dxa"/>
              <w:end w:w="120" w:type="dxa"/>
            </w:tcMar>
          </w:tcPr>
          <w:p>
            <w:pPr>
              <w:spacing w:before="0" w:after="0" w:line="269" w:lineRule="auto"/>
              <w:jc w:val="center"/>
            </w:pPr>
            <w:r>
              <w:rPr>
                <w:rFonts w:ascii="Calibri" w:hAnsi="Calibri"/>
                <w:b/>
                <w:color w:val="2E74B5"/>
                <w:sz w:val="18"/>
              </w:rPr>
              <w:t>[ ]</w:t>
            </w:r>
          </w:p>
        </w:tc>
        <w:tc>
          <w:tcPr>
            <w:tcW w:type="dxa" w:w="8760"/>
            <w:vAlign w:val="center"/>
            <w:tcMar>
              <w:top w:w="80" w:type="dxa"/>
              <w:start w:w="120" w:type="dxa"/>
              <w:bottom w:w="80" w:type="dxa"/>
              <w:end w:w="120" w:type="dxa"/>
            </w:tcMar>
          </w:tcPr>
          <w:p>
            <w:pPr>
              <w:spacing w:before="0" w:after="0" w:line="269" w:lineRule="auto"/>
              <w:jc w:val="left"/>
            </w:pPr>
            <w:r>
              <w:rPr>
                <w:rFonts w:ascii="Calibri" w:hAnsi="Calibri"/>
                <w:b w:val="0"/>
                <w:color w:val="20262E"/>
                <w:sz w:val="18"/>
              </w:rPr>
              <w:t>Acceptance, handover, access closure and data disposition are complete.</w:t>
            </w:r>
          </w:p>
        </w:tc>
      </w:tr>
    </w:tbl>
    <w:p>
      <w:pPr>
        <w:spacing w:after="20"/>
      </w:pPr>
    </w:p>
    <w:p>
      <w:pPr>
        <w:pStyle w:val="Heading2"/>
      </w:pPr>
      <w:r>
        <w:t>Source alignment</w:t>
      </w:r>
    </w:p>
    <w:p>
      <w:r>
        <w:rPr>
          <w:rFonts w:ascii="Calibri" w:hAnsi="Calibri"/>
          <w:i/>
          <w:color w:val="66717E"/>
        </w:rPr>
        <w:t>This artefact is aligned to the Heutrix Instructions, Voice and Notes dated 31 July 2026; the Heutrix Client Services Agreement v1.0; the Workflow Diagnostic Order Form v1.0; and the Project Control Forms v1.0. If a signed client document differs, the signed document controls.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17E"/>
        <w:sz w:val="17"/>
      </w:rPr>
      <w:t xml:space="preserve">Heutrix Pty Ltd  |  v1.0  |  </w:t>
    </w:r>
    <w:r>
      <w:rPr>
        <w:rFonts w:ascii="Calibri" w:hAnsi="Calibri"/>
        <w:color w:val="6671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17E"/>
        <w:sz w:val="17"/>
      </w:rPr>
      <w:t>HEUTRIX  |  Diagnostic Delivery Playbook</w:t>
    </w:r>
    <w:r>
      <w:rPr>
        <w:rFonts w:ascii="Calibri" w:hAnsi="Calibri"/>
        <w:b/>
        <w:color w:val="66717E"/>
        <w:sz w:val="17"/>
      </w:rPr>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Delivery Playbook</dc:title>
  <dc:subject>Heutrix fit call and Workflow Diagnostic operations pack</dc:subject>
  <dc:creator>Heutrix Pty Ltd</dc:creator>
  <cp:keywords/>
  <dc:description>Operational template aligned to the Workflow Diagnostic Order Form v1.0.</dc:description>
  <cp:lastModifiedBy>Heutrix Pty Ltd</cp:lastModifiedBy>
  <cp:revision>1</cp:revision>
  <dcterms:created xsi:type="dcterms:W3CDTF">2013-12-23T23:15:00Z</dcterms:created>
  <dcterms:modified xsi:type="dcterms:W3CDTF">2013-12-23T23:15:00Z</dcterms:modified>
  <cp:category/>
</cp:coreProperties>
</file>