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2E74B5"/>
          <w:sz w:val="18"/>
        </w:rPr>
        <w:t>FINDINGS REPORT TEMPLATE</w:t>
      </w:r>
    </w:p>
    <w:p>
      <w:pPr>
        <w:spacing w:before="0" w:after="120"/>
      </w:pPr>
      <w:r>
        <w:rPr>
          <w:rFonts w:ascii="Calibri" w:hAnsi="Calibri"/>
          <w:b/>
          <w:color w:val="17324D"/>
          <w:sz w:val="56"/>
        </w:rPr>
        <w:t>Workflow Diagnostic</w:t>
      </w:r>
    </w:p>
    <w:p>
      <w:pPr>
        <w:spacing w:before="0" w:after="320"/>
      </w:pPr>
      <w:r>
        <w:rPr>
          <w:rFonts w:ascii="Calibri" w:hAnsi="Calibri"/>
          <w:color w:val="66717E"/>
          <w:sz w:val="26"/>
        </w:rPr>
        <w:t>[Client name] | [Workflow name]</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700"/>
        <w:gridCol w:w="6660"/>
      </w:tblGrid>
      <w:tr>
        <w:trPr>
          <w:cantSplit/>
        </w:trPr>
        <w:tc>
          <w:tcPr>
            <w:tcW w:type="dxa" w:w="2700"/>
            <w:shd w:fill="E8EEF5"/>
            <w:vAlign w:val="center"/>
            <w:tcMar>
              <w:top w:w="80" w:type="dxa"/>
              <w:start w:w="120" w:type="dxa"/>
              <w:bottom w:w="80" w:type="dxa"/>
              <w:end w:w="120" w:type="dxa"/>
            </w:tcMar>
          </w:tcPr>
          <w:p>
            <w:pPr>
              <w:spacing w:before="0" w:after="0" w:line="269" w:lineRule="auto"/>
              <w:jc w:val="left"/>
            </w:pPr>
            <w:r>
              <w:rPr>
                <w:rFonts w:ascii="Calibri" w:hAnsi="Calibri"/>
                <w:b/>
                <w:color w:val="17324D"/>
                <w:sz w:val="19"/>
              </w:rPr>
              <w:t>Client</w:t>
            </w:r>
          </w:p>
        </w:tc>
        <w:tc>
          <w:tcPr>
            <w:tcW w:type="dxa" w:w="66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9"/>
              </w:rPr>
              <w:t>[Client legal name]</w:t>
            </w:r>
          </w:p>
        </w:tc>
      </w:tr>
      <w:tr>
        <w:trPr>
          <w:cantSplit/>
        </w:trPr>
        <w:tc>
          <w:tcPr>
            <w:tcW w:type="dxa" w:w="2700"/>
            <w:shd w:fill="E8EEF5"/>
            <w:vAlign w:val="center"/>
            <w:tcMar>
              <w:top w:w="80" w:type="dxa"/>
              <w:start w:w="120" w:type="dxa"/>
              <w:bottom w:w="80" w:type="dxa"/>
              <w:end w:w="120" w:type="dxa"/>
            </w:tcMar>
          </w:tcPr>
          <w:p>
            <w:pPr>
              <w:spacing w:before="0" w:after="0" w:line="269" w:lineRule="auto"/>
              <w:jc w:val="left"/>
            </w:pPr>
            <w:r>
              <w:rPr>
                <w:rFonts w:ascii="Calibri" w:hAnsi="Calibri"/>
                <w:b/>
                <w:color w:val="17324D"/>
                <w:sz w:val="19"/>
              </w:rPr>
              <w:t>Project ID</w:t>
            </w:r>
          </w:p>
        </w:tc>
        <w:tc>
          <w:tcPr>
            <w:tcW w:type="dxa" w:w="66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9"/>
              </w:rPr>
              <w:t>[HTX-WD-YYYY-NNN-CLIENT]</w:t>
            </w:r>
          </w:p>
        </w:tc>
      </w:tr>
      <w:tr>
        <w:trPr>
          <w:cantSplit/>
        </w:trPr>
        <w:tc>
          <w:tcPr>
            <w:tcW w:type="dxa" w:w="2700"/>
            <w:shd w:fill="E8EEF5"/>
            <w:vAlign w:val="center"/>
            <w:tcMar>
              <w:top w:w="80" w:type="dxa"/>
              <w:start w:w="120" w:type="dxa"/>
              <w:bottom w:w="80" w:type="dxa"/>
              <w:end w:w="120" w:type="dxa"/>
            </w:tcMar>
          </w:tcPr>
          <w:p>
            <w:pPr>
              <w:spacing w:before="0" w:after="0" w:line="269" w:lineRule="auto"/>
              <w:jc w:val="left"/>
            </w:pPr>
            <w:r>
              <w:rPr>
                <w:rFonts w:ascii="Calibri" w:hAnsi="Calibri"/>
                <w:b/>
                <w:color w:val="17324D"/>
                <w:sz w:val="19"/>
              </w:rPr>
              <w:t>Workflow boundary</w:t>
            </w:r>
          </w:p>
        </w:tc>
        <w:tc>
          <w:tcPr>
            <w:tcW w:type="dxa" w:w="66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9"/>
              </w:rPr>
              <w:t>[Start event] to [end event]</w:t>
            </w:r>
          </w:p>
        </w:tc>
      </w:tr>
      <w:tr>
        <w:trPr>
          <w:cantSplit/>
        </w:trPr>
        <w:tc>
          <w:tcPr>
            <w:tcW w:type="dxa" w:w="2700"/>
            <w:shd w:fill="E8EEF5"/>
            <w:vAlign w:val="center"/>
            <w:tcMar>
              <w:top w:w="80" w:type="dxa"/>
              <w:start w:w="120" w:type="dxa"/>
              <w:bottom w:w="80" w:type="dxa"/>
              <w:end w:w="120" w:type="dxa"/>
            </w:tcMar>
          </w:tcPr>
          <w:p>
            <w:pPr>
              <w:spacing w:before="0" w:after="0" w:line="269" w:lineRule="auto"/>
              <w:jc w:val="left"/>
            </w:pPr>
            <w:r>
              <w:rPr>
                <w:rFonts w:ascii="Calibri" w:hAnsi="Calibri"/>
                <w:b/>
                <w:color w:val="17324D"/>
                <w:sz w:val="19"/>
              </w:rPr>
              <w:t>Prepared by</w:t>
            </w:r>
          </w:p>
        </w:tc>
        <w:tc>
          <w:tcPr>
            <w:tcW w:type="dxa" w:w="66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9"/>
              </w:rPr>
              <w:t>[Heutrix Engagement Lead / Analyst]</w:t>
            </w:r>
          </w:p>
        </w:tc>
      </w:tr>
      <w:tr>
        <w:trPr>
          <w:cantSplit/>
        </w:trPr>
        <w:tc>
          <w:tcPr>
            <w:tcW w:type="dxa" w:w="2700"/>
            <w:shd w:fill="E8EEF5"/>
            <w:vAlign w:val="center"/>
            <w:tcMar>
              <w:top w:w="80" w:type="dxa"/>
              <w:start w:w="120" w:type="dxa"/>
              <w:bottom w:w="80" w:type="dxa"/>
              <w:end w:w="120" w:type="dxa"/>
            </w:tcMar>
          </w:tcPr>
          <w:p>
            <w:pPr>
              <w:spacing w:before="0" w:after="0" w:line="269" w:lineRule="auto"/>
              <w:jc w:val="left"/>
            </w:pPr>
            <w:r>
              <w:rPr>
                <w:rFonts w:ascii="Calibri" w:hAnsi="Calibri"/>
                <w:b/>
                <w:color w:val="17324D"/>
                <w:sz w:val="19"/>
              </w:rPr>
              <w:t>Issue</w:t>
            </w:r>
          </w:p>
        </w:tc>
        <w:tc>
          <w:tcPr>
            <w:tcW w:type="dxa" w:w="6660"/>
            <w:shd w:fill="FFF4CE"/>
            <w:vAlign w:val="center"/>
            <w:tcMar>
              <w:top w:w="80" w:type="dxa"/>
              <w:start w:w="120" w:type="dxa"/>
              <w:bottom w:w="80" w:type="dxa"/>
              <w:end w:w="120" w:type="dxa"/>
            </w:tcMar>
          </w:tcPr>
          <w:p>
            <w:pPr>
              <w:spacing w:before="0" w:after="0" w:line="269" w:lineRule="auto"/>
              <w:jc w:val="left"/>
            </w:pPr>
            <w:r>
              <w:rPr>
                <w:rFonts w:ascii="Calibri" w:hAnsi="Calibri"/>
                <w:b w:val="0"/>
                <w:color w:val="20262E"/>
                <w:sz w:val="19"/>
              </w:rPr>
              <w:t>[Draft v0.1 / Final v1.0] | [YYYY-MM-DD]</w:t>
            </w:r>
          </w:p>
        </w:tc>
      </w:tr>
      <w:tr>
        <w:trPr>
          <w:cantSplit/>
        </w:trPr>
        <w:tc>
          <w:tcPr>
            <w:tcW w:type="dxa" w:w="2700"/>
            <w:shd w:fill="E8EEF5"/>
            <w:vAlign w:val="center"/>
            <w:tcMar>
              <w:top w:w="80" w:type="dxa"/>
              <w:start w:w="120" w:type="dxa"/>
              <w:bottom w:w="80" w:type="dxa"/>
              <w:end w:w="120" w:type="dxa"/>
            </w:tcMar>
          </w:tcPr>
          <w:p>
            <w:pPr>
              <w:spacing w:before="0" w:after="0" w:line="269" w:lineRule="auto"/>
              <w:jc w:val="left"/>
            </w:pPr>
            <w:r>
              <w:rPr>
                <w:rFonts w:ascii="Calibri" w:hAnsi="Calibri"/>
                <w:b/>
                <w:color w:val="17324D"/>
                <w:sz w:val="19"/>
              </w:rPr>
              <w:t>Data classification</w:t>
            </w:r>
          </w:p>
        </w:tc>
        <w:tc>
          <w:tcPr>
            <w:tcW w:type="dxa" w:w="66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9"/>
              </w:rPr>
              <w:t>CLIENT CONFIDENTIAL | approved project repository only</w:t>
            </w:r>
          </w:p>
        </w:tc>
      </w:tr>
    </w:tbl>
    <w:p>
      <w:pPr>
        <w:spacing w:after="20"/>
      </w:pPr>
    </w:p>
    <w:tbl>
      <w:tblPr>
        <w:tblW w:type="dxa" w:w="9360"/>
        <w:jc w:val="left"/>
        <w:tblLayout w:type="fixed"/>
        <w:tblLook w:firstColumn="1" w:firstRow="1" w:lastColumn="0" w:lastRow="0" w:noHBand="0" w:noVBand="1" w:val="04A0"/>
        <w:tblInd w:type="dxa" w:w="120"/>
        <w:tblBorders>
          <w:top w:val="single" w:sz="2" w:space="0" w:color="FFF4CE"/>
          <w:left w:val="single" w:sz="2" w:space="0" w:color="FFF4CE"/>
          <w:bottom w:val="single" w:sz="2" w:space="0" w:color="FFF4CE"/>
          <w:right w:val="single" w:sz="2" w:space="0" w:color="FFF4CE"/>
          <w:insideH w:val="single" w:sz="2" w:space="0" w:color="FFF4CE"/>
          <w:insideV w:val="single" w:sz="2" w:space="0" w:color="FFF4CE"/>
        </w:tblBorders>
      </w:tblPr>
      <w:tblGrid>
        <w:gridCol w:w="9360"/>
      </w:tblGrid>
      <w:tr>
        <w:trPr>
          <w:cantSplit/>
        </w:trPr>
        <w:tc>
          <w:tcPr>
            <w:tcW w:type="dxa" w:w="9360"/>
            <w:shd w:fill="FFF4CE"/>
            <w:vAlign w:val="center"/>
            <w:tcMar>
              <w:top w:w="80" w:type="dxa"/>
              <w:start w:w="120" w:type="dxa"/>
              <w:bottom w:w="80" w:type="dxa"/>
              <w:end w:w="120" w:type="dxa"/>
            </w:tcMar>
          </w:tcPr>
          <w:p>
            <w:pPr>
              <w:spacing w:after="0"/>
            </w:pPr>
            <w:r>
              <w:rPr>
                <w:rFonts w:ascii="Calibri" w:hAnsi="Calibri"/>
                <w:b/>
                <w:color w:val="17324D"/>
                <w:sz w:val="20"/>
              </w:rPr>
              <w:t xml:space="preserve">Template instruction: </w:t>
            </w:r>
            <w:r>
              <w:rPr>
                <w:rFonts w:ascii="Calibri" w:hAnsi="Calibri"/>
                <w:color w:val="20262E"/>
                <w:sz w:val="20"/>
              </w:rPr>
              <w:t>Replace all [square bracket] prompts, remove instruction boxes and verify every statement against the working papers before client issue.</w:t>
            </w:r>
          </w:p>
        </w:tc>
      </w:tr>
    </w:tbl>
    <w:p>
      <w:pPr>
        <w:spacing w:after="20"/>
      </w:pPr>
    </w:p>
    <w:tbl>
      <w:tblPr>
        <w:tblW w:type="dxa" w:w="9360"/>
        <w:jc w:val="left"/>
        <w:tblLayout w:type="fixed"/>
        <w:tblLook w:firstColumn="1" w:firstRow="1" w:lastColumn="0" w:lastRow="0" w:noHBand="0" w:noVBand="1" w:val="04A0"/>
        <w:tblInd w:type="dxa" w:w="120"/>
        <w:tblBorders>
          <w:top w:val="single" w:sz="2" w:space="0" w:color="F2F4F7"/>
          <w:left w:val="single" w:sz="2" w:space="0" w:color="F2F4F7"/>
          <w:bottom w:val="single" w:sz="2" w:space="0" w:color="F2F4F7"/>
          <w:right w:val="single" w:sz="2" w:space="0" w:color="F2F4F7"/>
          <w:insideH w:val="single" w:sz="2" w:space="0" w:color="F2F4F7"/>
          <w:insideV w:val="single" w:sz="2" w:space="0" w:color="F2F4F7"/>
        </w:tblBorders>
      </w:tblPr>
      <w:tblGrid>
        <w:gridCol w:w="9360"/>
      </w:tblGrid>
      <w:tr>
        <w:trPr>
          <w:cantSplit/>
        </w:trPr>
        <w:tc>
          <w:tcPr>
            <w:tcW w:type="dxa" w:w="9360"/>
            <w:shd w:fill="F2F4F7"/>
            <w:vAlign w:val="center"/>
            <w:tcMar>
              <w:top w:w="80" w:type="dxa"/>
              <w:start w:w="120" w:type="dxa"/>
              <w:bottom w:w="80" w:type="dxa"/>
              <w:end w:w="120" w:type="dxa"/>
            </w:tcMar>
          </w:tcPr>
          <w:p>
            <w:pPr>
              <w:spacing w:after="0"/>
            </w:pPr>
            <w:r>
              <w:rPr>
                <w:rFonts w:ascii="Calibri" w:hAnsi="Calibri"/>
                <w:b/>
                <w:color w:val="17324D"/>
                <w:sz w:val="20"/>
              </w:rPr>
              <w:t xml:space="preserve">Service boundary: </w:t>
            </w:r>
            <w:r>
              <w:rPr>
                <w:rFonts w:ascii="Calibri" w:hAnsi="Calibri"/>
                <w:color w:val="20262E"/>
                <w:sz w:val="20"/>
              </w:rPr>
              <w:t>This report is an operational workflow diagnostic. It is not implementation, legal, clinical, medical, tax, employment, regulatory, official audit, NDIS registration or compliance assurance advice.</w:t>
            </w:r>
          </w:p>
        </w:tc>
      </w:tr>
    </w:tbl>
    <w:p>
      <w:pPr>
        <w:spacing w:after="20"/>
      </w:pPr>
    </w:p>
    <w:p>
      <w:pPr>
        <w:pStyle w:val="Heading1"/>
      </w:pPr>
      <w:r>
        <w:t>1. Executive summary</w:t>
      </w:r>
    </w:p>
    <w:tbl>
      <w:tblPr>
        <w:tblW w:type="dxa" w:w="9360"/>
        <w:jc w:val="left"/>
        <w:tblLayout w:type="fixed"/>
        <w:tblLook w:firstColumn="1" w:firstRow="1" w:lastColumn="0" w:lastRow="0" w:noHBand="0" w:noVBand="1" w:val="04A0"/>
        <w:tblInd w:type="dxa" w:w="120"/>
        <w:tblBorders>
          <w:top w:val="single" w:sz="2" w:space="0" w:color="FFF4CE"/>
          <w:left w:val="single" w:sz="2" w:space="0" w:color="FFF4CE"/>
          <w:bottom w:val="single" w:sz="2" w:space="0" w:color="FFF4CE"/>
          <w:right w:val="single" w:sz="2" w:space="0" w:color="FFF4CE"/>
          <w:insideH w:val="single" w:sz="2" w:space="0" w:color="FFF4CE"/>
          <w:insideV w:val="single" w:sz="2" w:space="0" w:color="FFF4CE"/>
        </w:tblBorders>
      </w:tblPr>
      <w:tblGrid>
        <w:gridCol w:w="9360"/>
      </w:tblGrid>
      <w:tr>
        <w:trPr>
          <w:cantSplit/>
        </w:trPr>
        <w:tc>
          <w:tcPr>
            <w:tcW w:type="dxa" w:w="9360"/>
            <w:shd w:fill="FFF4CE"/>
            <w:vAlign w:val="center"/>
            <w:tcMar>
              <w:top w:w="80" w:type="dxa"/>
              <w:start w:w="120" w:type="dxa"/>
              <w:bottom w:w="80" w:type="dxa"/>
              <w:end w:w="120" w:type="dxa"/>
            </w:tcMar>
          </w:tcPr>
          <w:p>
            <w:pPr>
              <w:spacing w:after="0"/>
            </w:pPr>
            <w:r>
              <w:rPr>
                <w:rFonts w:ascii="Calibri" w:hAnsi="Calibri"/>
                <w:b/>
                <w:color w:val="17324D"/>
                <w:sz w:val="20"/>
              </w:rPr>
              <w:t xml:space="preserve">Drafting prompt: </w:t>
            </w:r>
            <w:r>
              <w:rPr>
                <w:rFonts w:ascii="Calibri" w:hAnsi="Calibri"/>
                <w:color w:val="20262E"/>
                <w:sz w:val="20"/>
              </w:rPr>
              <w:t>In 150-250 words: state the workflow, the decision it supports, the two or three most important findings, the recommended direction, the main dependency and the immediate next action. Do not repeat the whole report.</w:t>
            </w:r>
          </w:p>
        </w:tc>
      </w:tr>
    </w:tbl>
    <w:p>
      <w:pPr>
        <w:spacing w:after="20"/>
      </w:pPr>
    </w:p>
    <w:p>
      <w:r>
        <w:rPr>
          <w:rFonts w:ascii="Calibri" w:hAnsi="Calibri"/>
          <w:i w:val="0"/>
          <w:color w:val="20262E"/>
        </w:rPr>
        <w:t>[Client] asked Heutrix to review [workflow] from [start] to [end]. Based on [evidence set], the workflow's main constraint is [root cause], which contributes to [observed impact]. Heutrix recommends [direction] because [rationale]. The first decision is [decision], owned by [role], by [date].</w:t>
      </w:r>
    </w:p>
    <w:p>
      <w:pPr>
        <w:pStyle w:val="Heading1"/>
      </w:pPr>
      <w:r>
        <w:t>2. Engagement scope and decision</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700"/>
        <w:gridCol w:w="6660"/>
      </w:tblGrid>
      <w:tr>
        <w:trPr>
          <w:tblHeader w:val="true"/>
          <w:cantSplit/>
        </w:trPr>
        <w:tc>
          <w:tcPr>
            <w:tcW w:type="dxa" w:w="2700"/>
            <w:shd w:fill="E8EEF5"/>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Field</w:t>
            </w:r>
          </w:p>
        </w:tc>
        <w:tc>
          <w:tcPr>
            <w:tcW w:type="dxa" w:w="6660"/>
            <w:shd w:fill="E8EEF5"/>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Response</w:t>
            </w:r>
          </w:p>
        </w:tc>
      </w:tr>
      <w:tr>
        <w:trPr>
          <w:cantSplit/>
        </w:trPr>
        <w:tc>
          <w:tcPr>
            <w:tcW w:type="dxa" w:w="2700"/>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Workflow in scope</w:t>
            </w:r>
          </w:p>
        </w:tc>
        <w:tc>
          <w:tcPr>
            <w:tcW w:type="dxa" w:w="66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[Exact signed scope]</w:t>
            </w:r>
          </w:p>
        </w:tc>
      </w:tr>
      <w:tr>
        <w:trPr>
          <w:cantSplit/>
        </w:trPr>
        <w:tc>
          <w:tcPr>
            <w:tcW w:type="dxa" w:w="2700"/>
            <w:shd w:fill="F2F4F7"/>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Start event</w:t>
            </w:r>
          </w:p>
        </w:tc>
        <w:tc>
          <w:tcPr>
            <w:tcW w:type="dxa" w:w="66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 ]</w:t>
            </w:r>
          </w:p>
        </w:tc>
      </w:tr>
      <w:tr>
        <w:trPr>
          <w:cantSplit/>
        </w:trPr>
        <w:tc>
          <w:tcPr>
            <w:tcW w:type="dxa" w:w="2700"/>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End event</w:t>
            </w:r>
          </w:p>
        </w:tc>
        <w:tc>
          <w:tcPr>
            <w:tcW w:type="dxa" w:w="66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 ]</w:t>
            </w:r>
          </w:p>
        </w:tc>
      </w:tr>
      <w:tr>
        <w:trPr>
          <w:cantSplit/>
        </w:trPr>
        <w:tc>
          <w:tcPr>
            <w:tcW w:type="dxa" w:w="2700"/>
            <w:shd w:fill="F2F4F7"/>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Decision supported</w:t>
            </w:r>
          </w:p>
        </w:tc>
        <w:tc>
          <w:tcPr>
            <w:tcW w:type="dxa" w:w="66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[What the client should decide after reading]</w:t>
            </w:r>
          </w:p>
        </w:tc>
      </w:tr>
      <w:tr>
        <w:trPr>
          <w:cantSplit/>
        </w:trPr>
        <w:tc>
          <w:tcPr>
            <w:tcW w:type="dxa" w:w="2700"/>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Client Project Owner</w:t>
            </w:r>
          </w:p>
        </w:tc>
        <w:tc>
          <w:tcPr>
            <w:tcW w:type="dxa" w:w="66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[Name and role]</w:t>
            </w:r>
          </w:p>
        </w:tc>
      </w:tr>
      <w:tr>
        <w:trPr>
          <w:cantSplit/>
        </w:trPr>
        <w:tc>
          <w:tcPr>
            <w:tcW w:type="dxa" w:w="2700"/>
            <w:shd w:fill="F2F4F7"/>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Workshop participants</w:t>
            </w:r>
          </w:p>
        </w:tc>
        <w:tc>
          <w:tcPr>
            <w:tcW w:type="dxa" w:w="66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[Names and roles]</w:t>
            </w:r>
          </w:p>
        </w:tc>
      </w:tr>
      <w:tr>
        <w:trPr>
          <w:cantSplit/>
        </w:trPr>
        <w:tc>
          <w:tcPr>
            <w:tcW w:type="dxa" w:w="2700"/>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Explicit exclusions</w:t>
            </w:r>
          </w:p>
        </w:tc>
        <w:tc>
          <w:tcPr>
            <w:tcW w:type="dxa" w:w="66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[Adjacent workflows, build, assurance and other exclusions]</w:t>
            </w:r>
          </w:p>
        </w:tc>
      </w:tr>
      <w:tr>
        <w:trPr>
          <w:cantSplit/>
        </w:trPr>
        <w:tc>
          <w:tcPr>
            <w:tcW w:type="dxa" w:w="2700"/>
            <w:shd w:fill="F2F4F7"/>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Special conditions</w:t>
            </w:r>
          </w:p>
        </w:tc>
        <w:tc>
          <w:tcPr>
            <w:tcW w:type="dxa" w:w="66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[None / list]</w:t>
            </w:r>
          </w:p>
        </w:tc>
      </w:tr>
    </w:tbl>
    <w:p>
      <w:pPr>
        <w:spacing w:after="20"/>
      </w:pPr>
    </w:p>
    <w:p>
      <w:pPr>
        <w:pStyle w:val="Heading1"/>
      </w:pPr>
      <w:r>
        <w:t>3. Method, evidence and limitations</w:t>
      </w:r>
    </w:p>
    <w:p>
      <w:r>
        <w:rPr>
          <w:rFonts w:ascii="Calibri" w:hAnsi="Calibri"/>
          <w:i w:val="0"/>
          <w:color w:val="20262E"/>
        </w:rPr>
        <w:t>Heutrix used a structured fit and mobilisation process, a kickoff and data-handling check, one discovery workshop, limited document review, current-state analysis, future-state design and internal quality review.</w:t>
      </w:r>
    </w:p>
    <w:p>
      <w:pPr>
        <w:pStyle w:val="Heading2"/>
      </w:pPr>
      <w:r>
        <w:t>Evidence reviewed</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700"/>
        <w:gridCol w:w="2300"/>
        <w:gridCol w:w="1500"/>
        <w:gridCol w:w="2300"/>
        <w:gridCol w:w="2560"/>
      </w:tblGrid>
      <w:tr>
        <w:trPr>
          <w:tblHeader w:val="true"/>
          <w:cantSplit/>
        </w:trPr>
        <w:tc>
          <w:tcPr>
            <w:tcW w:type="dxa" w:w="7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6"/>
              </w:rPr>
              <w:t>ID</w:t>
            </w:r>
          </w:p>
        </w:tc>
        <w:tc>
          <w:tcPr>
            <w:tcW w:type="dxa" w:w="23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6"/>
              </w:rPr>
              <w:t>Source</w:t>
            </w:r>
          </w:p>
        </w:tc>
        <w:tc>
          <w:tcPr>
            <w:tcW w:type="dxa" w:w="15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6"/>
              </w:rPr>
              <w:t>Date / version</w:t>
            </w:r>
          </w:p>
        </w:tc>
        <w:tc>
          <w:tcPr>
            <w:tcW w:type="dxa" w:w="23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6"/>
              </w:rPr>
              <w:t>Use</w:t>
            </w:r>
          </w:p>
        </w:tc>
        <w:tc>
          <w:tcPr>
            <w:tcW w:type="dxa" w:w="256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6"/>
              </w:rPr>
              <w:t>Confidence / limitation</w:t>
            </w:r>
          </w:p>
        </w:tc>
      </w:tr>
      <w:tr>
        <w:trPr>
          <w:cantSplit/>
        </w:trPr>
        <w:tc>
          <w:tcPr>
            <w:tcW w:type="dxa" w:w="7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E-01</w:t>
            </w:r>
          </w:p>
        </w:tc>
        <w:tc>
          <w:tcPr>
            <w:tcW w:type="dxa" w:w="23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[Document / workshop / data]</w:t>
            </w:r>
          </w:p>
        </w:tc>
        <w:tc>
          <w:tcPr>
            <w:tcW w:type="dxa" w:w="15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 ]</w:t>
            </w:r>
          </w:p>
        </w:tc>
        <w:tc>
          <w:tcPr>
            <w:tcW w:type="dxa" w:w="23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[What it supports]</w:t>
            </w:r>
          </w:p>
        </w:tc>
        <w:tc>
          <w:tcPr>
            <w:tcW w:type="dxa" w:w="25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[High / medium / low and why]</w:t>
            </w:r>
          </w:p>
        </w:tc>
      </w:tr>
      <w:tr>
        <w:trPr>
          <w:cantSplit/>
        </w:trPr>
        <w:tc>
          <w:tcPr>
            <w:tcW w:type="dxa" w:w="7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E-02</w:t>
            </w:r>
          </w:p>
        </w:tc>
        <w:tc>
          <w:tcPr>
            <w:tcW w:type="dxa" w:w="23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 ]</w:t>
            </w:r>
          </w:p>
        </w:tc>
        <w:tc>
          <w:tcPr>
            <w:tcW w:type="dxa" w:w="15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 ]</w:t>
            </w:r>
          </w:p>
        </w:tc>
        <w:tc>
          <w:tcPr>
            <w:tcW w:type="dxa" w:w="23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 ]</w:t>
            </w:r>
          </w:p>
        </w:tc>
        <w:tc>
          <w:tcPr>
            <w:tcW w:type="dxa" w:w="25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 ]</w:t>
            </w:r>
          </w:p>
        </w:tc>
      </w:tr>
      <w:tr>
        <w:trPr>
          <w:cantSplit/>
        </w:trPr>
        <w:tc>
          <w:tcPr>
            <w:tcW w:type="dxa" w:w="7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E-03</w:t>
            </w:r>
          </w:p>
        </w:tc>
        <w:tc>
          <w:tcPr>
            <w:tcW w:type="dxa" w:w="23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 ]</w:t>
            </w:r>
          </w:p>
        </w:tc>
        <w:tc>
          <w:tcPr>
            <w:tcW w:type="dxa" w:w="15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 ]</w:t>
            </w:r>
          </w:p>
        </w:tc>
        <w:tc>
          <w:tcPr>
            <w:tcW w:type="dxa" w:w="23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 ]</w:t>
            </w:r>
          </w:p>
        </w:tc>
        <w:tc>
          <w:tcPr>
            <w:tcW w:type="dxa" w:w="25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 ]</w:t>
            </w:r>
          </w:p>
        </w:tc>
      </w:tr>
    </w:tbl>
    <w:p>
      <w:pPr>
        <w:spacing w:after="20"/>
      </w:pPr>
    </w:p>
    <w:p>
      <w:pPr>
        <w:pStyle w:val="Heading2"/>
      </w:pPr>
      <w:r>
        <w:t>Limitations</w:t>
      </w:r>
    </w:p>
    <w:p>
      <w:pPr>
        <w:spacing w:before="0" w:after="80" w:line="300" w:lineRule="auto"/>
        <w:numPr>
          <w:ilvl w:val="0"/>
          <w:numId w:val="10"/>
        </w:numPr>
      </w:pPr>
      <w:r>
        <w:rPr>
          <w:rFonts w:ascii="Calibri" w:hAnsi="Calibri"/>
        </w:rPr>
        <w:t>The Diagnostic relies on information supplied by the Client and is not an independent audit or verification of compliance.</w:t>
      </w:r>
    </w:p>
    <w:p>
      <w:pPr>
        <w:spacing w:before="0" w:after="80" w:line="300" w:lineRule="auto"/>
        <w:numPr>
          <w:ilvl w:val="0"/>
          <w:numId w:val="10"/>
        </w:numPr>
      </w:pPr>
      <w:r>
        <w:rPr>
          <w:rFonts w:ascii="Calibri" w:hAnsi="Calibri"/>
        </w:rPr>
        <w:t>The evidence set was limited to [items / pages] and the workshop participants listed above.</w:t>
      </w:r>
    </w:p>
    <w:p>
      <w:pPr>
        <w:spacing w:before="0" w:after="80" w:line="300" w:lineRule="auto"/>
        <w:numPr>
          <w:ilvl w:val="0"/>
          <w:numId w:val="10"/>
        </w:numPr>
      </w:pPr>
      <w:r>
        <w:rPr>
          <w:rFonts w:ascii="Calibri" w:hAnsi="Calibri"/>
        </w:rPr>
        <w:t>No Personal Information or sensitive information, production access or client-data AI use was approved unless expressly stated here: [state approved exception or 'none'].</w:t>
      </w:r>
    </w:p>
    <w:p>
      <w:pPr>
        <w:spacing w:before="0" w:after="80" w:line="300" w:lineRule="auto"/>
        <w:numPr>
          <w:ilvl w:val="0"/>
          <w:numId w:val="10"/>
        </w:numPr>
      </w:pPr>
      <w:r>
        <w:rPr>
          <w:rFonts w:ascii="Calibri" w:hAnsi="Calibri"/>
        </w:rPr>
        <w:t>Quantitative impacts are estimates unless the source, period, method and assumptions are shown.</w:t>
      </w:r>
    </w:p>
    <w:p>
      <w:pPr>
        <w:spacing w:before="0" w:after="80" w:line="300" w:lineRule="auto"/>
        <w:numPr>
          <w:ilvl w:val="0"/>
          <w:numId w:val="10"/>
        </w:numPr>
      </w:pPr>
      <w:r>
        <w:rPr>
          <w:rFonts w:ascii="Calibri" w:hAnsi="Calibri"/>
        </w:rPr>
        <w:t>Unresolved facts or contradictions are listed in the assumptions and decisions section.</w:t>
      </w:r>
    </w:p>
    <w:p>
      <w:pPr>
        <w:pStyle w:val="Heading1"/>
      </w:pPr>
      <w:r>
        <w:t>4. Current-state workflow</w:t>
      </w:r>
    </w:p>
    <w:tbl>
      <w:tblPr>
        <w:tblW w:type="dxa" w:w="9360"/>
        <w:jc w:val="left"/>
        <w:tblLayout w:type="fixed"/>
        <w:tblLook w:firstColumn="1" w:firstRow="1" w:lastColumn="0" w:lastRow="0" w:noHBand="0" w:noVBand="1" w:val="04A0"/>
        <w:tblInd w:type="dxa" w:w="120"/>
        <w:tblBorders>
          <w:top w:val="single" w:sz="2" w:space="0" w:color="FFF4CE"/>
          <w:left w:val="single" w:sz="2" w:space="0" w:color="FFF4CE"/>
          <w:bottom w:val="single" w:sz="2" w:space="0" w:color="FFF4CE"/>
          <w:right w:val="single" w:sz="2" w:space="0" w:color="FFF4CE"/>
          <w:insideH w:val="single" w:sz="2" w:space="0" w:color="FFF4CE"/>
          <w:insideV w:val="single" w:sz="2" w:space="0" w:color="FFF4CE"/>
        </w:tblBorders>
      </w:tblPr>
      <w:tblGrid>
        <w:gridCol w:w="9360"/>
      </w:tblGrid>
      <w:tr>
        <w:trPr>
          <w:cantSplit/>
        </w:trPr>
        <w:tc>
          <w:tcPr>
            <w:tcW w:type="dxa" w:w="9360"/>
            <w:shd w:fill="FFF4CE"/>
            <w:vAlign w:val="center"/>
            <w:tcMar>
              <w:top w:w="80" w:type="dxa"/>
              <w:start w:w="120" w:type="dxa"/>
              <w:bottom w:w="80" w:type="dxa"/>
              <w:end w:w="120" w:type="dxa"/>
            </w:tcMar>
          </w:tcPr>
          <w:p>
            <w:pPr>
              <w:spacing w:after="0"/>
            </w:pPr>
            <w:r>
              <w:rPr>
                <w:rFonts w:ascii="Calibri" w:hAnsi="Calibri"/>
                <w:b/>
                <w:color w:val="17324D"/>
                <w:sz w:val="20"/>
              </w:rPr>
              <w:t xml:space="preserve">Map placement: </w:t>
            </w:r>
            <w:r>
              <w:rPr>
                <w:rFonts w:ascii="Calibri" w:hAnsi="Calibri"/>
                <w:color w:val="20262E"/>
                <w:sz w:val="20"/>
              </w:rPr>
              <w:t>Insert the current-state map here or reference the issued editable map. It must use the same step, pain-point and evidence IDs as this report and the working workbook.</w:t>
            </w:r>
          </w:p>
        </w:tc>
      </w:tr>
    </w:tbl>
    <w:p>
      <w:pPr>
        <w:spacing w:after="20"/>
      </w:pPr>
    </w:p>
    <w:p>
      <w:r>
        <w:rPr>
          <w:rFonts w:ascii="Calibri" w:hAnsi="Calibri"/>
          <w:i w:val="0"/>
          <w:color w:val="20262E"/>
        </w:rPr>
        <w:t>[Insert current-state map image or concise map reference]</w:t>
      </w:r>
    </w:p>
    <w:p>
      <w:pPr>
        <w:pStyle w:val="Heading2"/>
      </w:pPr>
      <w:r>
        <w:t>How the workflow operates</w:t>
      </w:r>
    </w:p>
    <w:p>
      <w:r>
        <w:rPr>
          <w:rFonts w:ascii="Calibri" w:hAnsi="Calibri"/>
          <w:i w:val="0"/>
          <w:color w:val="20262E"/>
        </w:rPr>
        <w:t>[Explain the normal path in clear prose. Focus on trigger, ownership, decisions, handovers, systems and completion. Keep exceptions to those that materially affect the findings.]</w:t>
      </w:r>
    </w:p>
    <w:p>
      <w:pPr>
        <w:pStyle w:val="Heading2"/>
      </w:pPr>
      <w:r>
        <w:t>Material exceptions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900"/>
        <w:gridCol w:w="2700"/>
        <w:gridCol w:w="2860"/>
        <w:gridCol w:w="2900"/>
      </w:tblGrid>
      <w:tr>
        <w:trPr>
          <w:tblHeader w:val="true"/>
          <w:cantSplit/>
        </w:trPr>
        <w:tc>
          <w:tcPr>
            <w:tcW w:type="dxa" w:w="9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7"/>
              </w:rPr>
              <w:t>ID</w:t>
            </w:r>
          </w:p>
        </w:tc>
        <w:tc>
          <w:tcPr>
            <w:tcW w:type="dxa" w:w="27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7"/>
              </w:rPr>
              <w:t>Exception</w:t>
            </w:r>
          </w:p>
        </w:tc>
        <w:tc>
          <w:tcPr>
            <w:tcW w:type="dxa" w:w="286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7"/>
              </w:rPr>
              <w:t>Current response</w:t>
            </w:r>
          </w:p>
        </w:tc>
        <w:tc>
          <w:tcPr>
            <w:tcW w:type="dxa" w:w="29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7"/>
              </w:rPr>
              <w:t>Observed consequence</w:t>
            </w:r>
          </w:p>
        </w:tc>
      </w:tr>
      <w:tr>
        <w:trPr>
          <w:cantSplit/>
        </w:trPr>
        <w:tc>
          <w:tcPr>
            <w:tcW w:type="dxa" w:w="9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EX-01</w:t>
            </w:r>
          </w:p>
        </w:tc>
        <w:tc>
          <w:tcPr>
            <w:tcW w:type="dxa" w:w="27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 ]</w:t>
            </w:r>
          </w:p>
        </w:tc>
        <w:tc>
          <w:tcPr>
            <w:tcW w:type="dxa" w:w="28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 ]</w:t>
            </w:r>
          </w:p>
        </w:tc>
        <w:tc>
          <w:tcPr>
            <w:tcW w:type="dxa" w:w="29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 ]</w:t>
            </w:r>
          </w:p>
        </w:tc>
      </w:tr>
      <w:tr>
        <w:trPr>
          <w:cantSplit/>
        </w:trPr>
        <w:tc>
          <w:tcPr>
            <w:tcW w:type="dxa" w:w="9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EX-02</w:t>
            </w:r>
          </w:p>
        </w:tc>
        <w:tc>
          <w:tcPr>
            <w:tcW w:type="dxa" w:w="27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 ]</w:t>
            </w:r>
          </w:p>
        </w:tc>
        <w:tc>
          <w:tcPr>
            <w:tcW w:type="dxa" w:w="28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 ]</w:t>
            </w:r>
          </w:p>
        </w:tc>
        <w:tc>
          <w:tcPr>
            <w:tcW w:type="dxa" w:w="29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 ]</w:t>
            </w:r>
          </w:p>
        </w:tc>
      </w:tr>
    </w:tbl>
    <w:p>
      <w:pPr>
        <w:spacing w:after="20"/>
      </w:pPr>
    </w:p>
    <w:p>
      <w:pPr>
        <w:pStyle w:val="Heading1"/>
      </w:pPr>
      <w:r>
        <w:t>5. Findings and root causes</w:t>
      </w:r>
    </w:p>
    <w:tbl>
      <w:tblPr>
        <w:tblW w:type="dxa" w:w="9360"/>
        <w:jc w:val="left"/>
        <w:tblLayout w:type="fixed"/>
        <w:tblLook w:firstColumn="1" w:firstRow="1" w:lastColumn="0" w:lastRow="0" w:noHBand="0" w:noVBand="1" w:val="04A0"/>
        <w:tblInd w:type="dxa" w:w="120"/>
        <w:tblBorders>
          <w:top w:val="single" w:sz="2" w:space="0" w:color="FFF4CE"/>
          <w:left w:val="single" w:sz="2" w:space="0" w:color="FFF4CE"/>
          <w:bottom w:val="single" w:sz="2" w:space="0" w:color="FFF4CE"/>
          <w:right w:val="single" w:sz="2" w:space="0" w:color="FFF4CE"/>
          <w:insideH w:val="single" w:sz="2" w:space="0" w:color="FFF4CE"/>
          <w:insideV w:val="single" w:sz="2" w:space="0" w:color="FFF4CE"/>
        </w:tblBorders>
      </w:tblPr>
      <w:tblGrid>
        <w:gridCol w:w="9360"/>
      </w:tblGrid>
      <w:tr>
        <w:trPr>
          <w:cantSplit/>
        </w:trPr>
        <w:tc>
          <w:tcPr>
            <w:tcW w:type="dxa" w:w="9360"/>
            <w:shd w:fill="FFF4CE"/>
            <w:vAlign w:val="center"/>
            <w:tcMar>
              <w:top w:w="80" w:type="dxa"/>
              <w:start w:w="120" w:type="dxa"/>
              <w:bottom w:w="80" w:type="dxa"/>
              <w:end w:w="120" w:type="dxa"/>
            </w:tcMar>
          </w:tcPr>
          <w:p>
            <w:pPr>
              <w:spacing w:after="0"/>
            </w:pPr>
            <w:r>
              <w:rPr>
                <w:rFonts w:ascii="Calibri" w:hAnsi="Calibri"/>
                <w:b/>
                <w:color w:val="17324D"/>
                <w:sz w:val="20"/>
              </w:rPr>
              <w:t xml:space="preserve">Writing standard: </w:t>
            </w:r>
            <w:r>
              <w:rPr>
                <w:rFonts w:ascii="Calibri" w:hAnsi="Calibri"/>
                <w:color w:val="20262E"/>
                <w:sz w:val="20"/>
              </w:rPr>
              <w:t>State the observed condition, evidence, consequence, root-cause hypothesis and confidence. Avoid language that implies a compliance breach unless a qualified service and evidence support that conclusion.</w:t>
            </w:r>
          </w:p>
        </w:tc>
      </w:tr>
    </w:tbl>
    <w:p>
      <w:pPr>
        <w:spacing w:after="20"/>
      </w:pP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650"/>
        <w:gridCol w:w="1450"/>
        <w:gridCol w:w="2500"/>
        <w:gridCol w:w="1050"/>
        <w:gridCol w:w="1700"/>
        <w:gridCol w:w="2010"/>
      </w:tblGrid>
      <w:tr>
        <w:trPr>
          <w:tblHeader w:val="true"/>
          <w:cantSplit/>
        </w:trPr>
        <w:tc>
          <w:tcPr>
            <w:tcW w:type="dxa" w:w="65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5"/>
              </w:rPr>
              <w:t>ID</w:t>
            </w:r>
          </w:p>
        </w:tc>
        <w:tc>
          <w:tcPr>
            <w:tcW w:type="dxa" w:w="145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5"/>
              </w:rPr>
              <w:t>Finding</w:t>
            </w:r>
          </w:p>
        </w:tc>
        <w:tc>
          <w:tcPr>
            <w:tcW w:type="dxa" w:w="25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5"/>
              </w:rPr>
              <w:t>Observation</w:t>
            </w:r>
          </w:p>
        </w:tc>
        <w:tc>
          <w:tcPr>
            <w:tcW w:type="dxa" w:w="105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5"/>
              </w:rPr>
              <w:t>Evidence</w:t>
            </w:r>
          </w:p>
        </w:tc>
        <w:tc>
          <w:tcPr>
            <w:tcW w:type="dxa" w:w="17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5"/>
              </w:rPr>
              <w:t>Impact</w:t>
            </w:r>
          </w:p>
        </w:tc>
        <w:tc>
          <w:tcPr>
            <w:tcW w:type="dxa" w:w="201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5"/>
              </w:rPr>
              <w:t>Root cause / confidence</w:t>
            </w:r>
          </w:p>
        </w:tc>
      </w:tr>
      <w:tr>
        <w:trPr>
          <w:cantSplit/>
        </w:trPr>
        <w:tc>
          <w:tcPr>
            <w:tcW w:type="dxa" w:w="650"/>
            <w:vAlign w:val="center"/>
            <w:tcMar>
              <w:top w:w="80" w:type="dxa"/>
              <w:start w:w="120" w:type="dxa"/>
              <w:bottom w:w="80" w:type="dxa"/>
              <w:end w:w="120" w:type="dxa"/>
            </w:tcMar>
          </w:tcPr>
          <w:p>
            <w:pPr>
              <w:spacing w:before="0" w:after="0" w:line="269" w:lineRule="auto"/>
              <w:jc w:val="left"/>
            </w:pPr>
            <w:r>
              <w:rPr>
                <w:rFonts w:ascii="Calibri" w:hAnsi="Calibri"/>
                <w:b w:val="0"/>
                <w:color w:val="20262E"/>
                <w:sz w:val="15"/>
              </w:rPr>
              <w:t>F-01</w:t>
            </w:r>
          </w:p>
        </w:tc>
        <w:tc>
          <w:tcPr>
            <w:tcW w:type="dxa" w:w="1450"/>
            <w:vAlign w:val="center"/>
            <w:tcMar>
              <w:top w:w="80" w:type="dxa"/>
              <w:start w:w="120" w:type="dxa"/>
              <w:bottom w:w="80" w:type="dxa"/>
              <w:end w:w="120" w:type="dxa"/>
            </w:tcMar>
          </w:tcPr>
          <w:p>
            <w:pPr>
              <w:spacing w:before="0" w:after="0" w:line="269" w:lineRule="auto"/>
              <w:jc w:val="left"/>
            </w:pPr>
            <w:r>
              <w:rPr>
                <w:rFonts w:ascii="Calibri" w:hAnsi="Calibri"/>
                <w:b w:val="0"/>
                <w:color w:val="20262E"/>
                <w:sz w:val="15"/>
              </w:rPr>
              <w:t>[Finding title]</w:t>
            </w:r>
          </w:p>
        </w:tc>
        <w:tc>
          <w:tcPr>
            <w:tcW w:type="dxa" w:w="25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5"/>
              </w:rPr>
              <w:t>[Observed condition linked to steps/pain IDs]</w:t>
            </w:r>
          </w:p>
        </w:tc>
        <w:tc>
          <w:tcPr>
            <w:tcW w:type="dxa" w:w="1050"/>
            <w:vAlign w:val="center"/>
            <w:tcMar>
              <w:top w:w="80" w:type="dxa"/>
              <w:start w:w="120" w:type="dxa"/>
              <w:bottom w:w="80" w:type="dxa"/>
              <w:end w:w="120" w:type="dxa"/>
            </w:tcMar>
          </w:tcPr>
          <w:p>
            <w:pPr>
              <w:spacing w:before="0" w:after="0" w:line="269" w:lineRule="auto"/>
              <w:jc w:val="left"/>
            </w:pPr>
            <w:r>
              <w:rPr>
                <w:rFonts w:ascii="Calibri" w:hAnsi="Calibri"/>
                <w:b w:val="0"/>
                <w:color w:val="20262E"/>
                <w:sz w:val="15"/>
              </w:rPr>
              <w:t>[Evidence IDs]</w:t>
            </w:r>
          </w:p>
        </w:tc>
        <w:tc>
          <w:tcPr>
            <w:tcW w:type="dxa" w:w="17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5"/>
              </w:rPr>
              <w:t>[Operational impact]</w:t>
            </w:r>
          </w:p>
        </w:tc>
        <w:tc>
          <w:tcPr>
            <w:tcW w:type="dxa" w:w="2010"/>
            <w:vAlign w:val="center"/>
            <w:tcMar>
              <w:top w:w="80" w:type="dxa"/>
              <w:start w:w="120" w:type="dxa"/>
              <w:bottom w:w="80" w:type="dxa"/>
              <w:end w:w="120" w:type="dxa"/>
            </w:tcMar>
          </w:tcPr>
          <w:p>
            <w:pPr>
              <w:spacing w:before="0" w:after="0" w:line="269" w:lineRule="auto"/>
              <w:jc w:val="left"/>
            </w:pPr>
            <w:r>
              <w:rPr>
                <w:rFonts w:ascii="Calibri" w:hAnsi="Calibri"/>
                <w:b w:val="0"/>
                <w:color w:val="20262E"/>
                <w:sz w:val="15"/>
              </w:rPr>
              <w:t>[Root cause / confidence]</w:t>
            </w:r>
          </w:p>
        </w:tc>
      </w:tr>
      <w:tr>
        <w:trPr>
          <w:cantSplit/>
        </w:trPr>
        <w:tc>
          <w:tcPr>
            <w:tcW w:type="dxa" w:w="65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5"/>
              </w:rPr>
              <w:t>F-02</w:t>
            </w:r>
          </w:p>
        </w:tc>
        <w:tc>
          <w:tcPr>
            <w:tcW w:type="dxa" w:w="145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5"/>
              </w:rPr>
              <w:t>[Finding title]</w:t>
            </w:r>
          </w:p>
        </w:tc>
        <w:tc>
          <w:tcPr>
            <w:tcW w:type="dxa" w:w="25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5"/>
              </w:rPr>
              <w:t>[ ]</w:t>
            </w:r>
          </w:p>
        </w:tc>
        <w:tc>
          <w:tcPr>
            <w:tcW w:type="dxa" w:w="105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5"/>
              </w:rPr>
              <w:t>[ ]</w:t>
            </w:r>
          </w:p>
        </w:tc>
        <w:tc>
          <w:tcPr>
            <w:tcW w:type="dxa" w:w="17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5"/>
              </w:rPr>
              <w:t>[ ]</w:t>
            </w:r>
          </w:p>
        </w:tc>
        <w:tc>
          <w:tcPr>
            <w:tcW w:type="dxa" w:w="201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5"/>
              </w:rPr>
              <w:t>[ ]</w:t>
            </w:r>
          </w:p>
        </w:tc>
      </w:tr>
      <w:tr>
        <w:trPr>
          <w:cantSplit/>
        </w:trPr>
        <w:tc>
          <w:tcPr>
            <w:tcW w:type="dxa" w:w="650"/>
            <w:vAlign w:val="center"/>
            <w:tcMar>
              <w:top w:w="80" w:type="dxa"/>
              <w:start w:w="120" w:type="dxa"/>
              <w:bottom w:w="80" w:type="dxa"/>
              <w:end w:w="120" w:type="dxa"/>
            </w:tcMar>
          </w:tcPr>
          <w:p>
            <w:pPr>
              <w:spacing w:before="0" w:after="0" w:line="269" w:lineRule="auto"/>
              <w:jc w:val="left"/>
            </w:pPr>
            <w:r>
              <w:rPr>
                <w:rFonts w:ascii="Calibri" w:hAnsi="Calibri"/>
                <w:b w:val="0"/>
                <w:color w:val="20262E"/>
                <w:sz w:val="15"/>
              </w:rPr>
              <w:t>F-03</w:t>
            </w:r>
          </w:p>
        </w:tc>
        <w:tc>
          <w:tcPr>
            <w:tcW w:type="dxa" w:w="1450"/>
            <w:vAlign w:val="center"/>
            <w:tcMar>
              <w:top w:w="80" w:type="dxa"/>
              <w:start w:w="120" w:type="dxa"/>
              <w:bottom w:w="80" w:type="dxa"/>
              <w:end w:w="120" w:type="dxa"/>
            </w:tcMar>
          </w:tcPr>
          <w:p>
            <w:pPr>
              <w:spacing w:before="0" w:after="0" w:line="269" w:lineRule="auto"/>
              <w:jc w:val="left"/>
            </w:pPr>
            <w:r>
              <w:rPr>
                <w:rFonts w:ascii="Calibri" w:hAnsi="Calibri"/>
                <w:b w:val="0"/>
                <w:color w:val="20262E"/>
                <w:sz w:val="15"/>
              </w:rPr>
              <w:t>[Finding title]</w:t>
            </w:r>
          </w:p>
        </w:tc>
        <w:tc>
          <w:tcPr>
            <w:tcW w:type="dxa" w:w="25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5"/>
              </w:rPr>
              <w:t>[ ]</w:t>
            </w:r>
          </w:p>
        </w:tc>
        <w:tc>
          <w:tcPr>
            <w:tcW w:type="dxa" w:w="1050"/>
            <w:vAlign w:val="center"/>
            <w:tcMar>
              <w:top w:w="80" w:type="dxa"/>
              <w:start w:w="120" w:type="dxa"/>
              <w:bottom w:w="80" w:type="dxa"/>
              <w:end w:w="120" w:type="dxa"/>
            </w:tcMar>
          </w:tcPr>
          <w:p>
            <w:pPr>
              <w:spacing w:before="0" w:after="0" w:line="269" w:lineRule="auto"/>
              <w:jc w:val="left"/>
            </w:pPr>
            <w:r>
              <w:rPr>
                <w:rFonts w:ascii="Calibri" w:hAnsi="Calibri"/>
                <w:b w:val="0"/>
                <w:color w:val="20262E"/>
                <w:sz w:val="15"/>
              </w:rPr>
              <w:t>[ ]</w:t>
            </w:r>
          </w:p>
        </w:tc>
        <w:tc>
          <w:tcPr>
            <w:tcW w:type="dxa" w:w="17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5"/>
              </w:rPr>
              <w:t>[ ]</w:t>
            </w:r>
          </w:p>
        </w:tc>
        <w:tc>
          <w:tcPr>
            <w:tcW w:type="dxa" w:w="2010"/>
            <w:vAlign w:val="center"/>
            <w:tcMar>
              <w:top w:w="80" w:type="dxa"/>
              <w:start w:w="120" w:type="dxa"/>
              <w:bottom w:w="80" w:type="dxa"/>
              <w:end w:w="120" w:type="dxa"/>
            </w:tcMar>
          </w:tcPr>
          <w:p>
            <w:pPr>
              <w:spacing w:before="0" w:after="0" w:line="269" w:lineRule="auto"/>
              <w:jc w:val="left"/>
            </w:pPr>
            <w:r>
              <w:rPr>
                <w:rFonts w:ascii="Calibri" w:hAnsi="Calibri"/>
                <w:b w:val="0"/>
                <w:color w:val="20262E"/>
                <w:sz w:val="15"/>
              </w:rPr>
              <w:t>[ ]</w:t>
            </w:r>
          </w:p>
        </w:tc>
      </w:tr>
    </w:tbl>
    <w:p>
      <w:pPr>
        <w:spacing w:after="20"/>
      </w:pPr>
    </w:p>
    <w:p>
      <w:pPr>
        <w:pStyle w:val="Heading1"/>
      </w:pPr>
      <w:r>
        <w:t>6. Future-state workflow</w:t>
      </w:r>
    </w:p>
    <w:tbl>
      <w:tblPr>
        <w:tblW w:type="dxa" w:w="9360"/>
        <w:jc w:val="left"/>
        <w:tblLayout w:type="fixed"/>
        <w:tblLook w:firstColumn="1" w:firstRow="1" w:lastColumn="0" w:lastRow="0" w:noHBand="0" w:noVBand="1" w:val="04A0"/>
        <w:tblInd w:type="dxa" w:w="120"/>
        <w:tblBorders>
          <w:top w:val="single" w:sz="2" w:space="0" w:color="FFF4CE"/>
          <w:left w:val="single" w:sz="2" w:space="0" w:color="FFF4CE"/>
          <w:bottom w:val="single" w:sz="2" w:space="0" w:color="FFF4CE"/>
          <w:right w:val="single" w:sz="2" w:space="0" w:color="FFF4CE"/>
          <w:insideH w:val="single" w:sz="2" w:space="0" w:color="FFF4CE"/>
          <w:insideV w:val="single" w:sz="2" w:space="0" w:color="FFF4CE"/>
        </w:tblBorders>
      </w:tblPr>
      <w:tblGrid>
        <w:gridCol w:w="9360"/>
      </w:tblGrid>
      <w:tr>
        <w:trPr>
          <w:cantSplit/>
        </w:trPr>
        <w:tc>
          <w:tcPr>
            <w:tcW w:type="dxa" w:w="9360"/>
            <w:shd w:fill="FFF4CE"/>
            <w:vAlign w:val="center"/>
            <w:tcMar>
              <w:top w:w="80" w:type="dxa"/>
              <w:start w:w="120" w:type="dxa"/>
              <w:bottom w:w="80" w:type="dxa"/>
              <w:end w:w="120" w:type="dxa"/>
            </w:tcMar>
          </w:tcPr>
          <w:p>
            <w:pPr>
              <w:spacing w:after="0"/>
            </w:pPr>
            <w:r>
              <w:rPr>
                <w:rFonts w:ascii="Calibri" w:hAnsi="Calibri"/>
                <w:b/>
                <w:color w:val="17324D"/>
                <w:sz w:val="20"/>
              </w:rPr>
              <w:t xml:space="preserve">Map placement: </w:t>
            </w:r>
            <w:r>
              <w:rPr>
                <w:rFonts w:ascii="Calibri" w:hAnsi="Calibri"/>
                <w:color w:val="20262E"/>
                <w:sz w:val="20"/>
              </w:rPr>
              <w:t>Insert the future-state map here. Make changed ownership, information capture, status visibility, controls, human review and handovers explicit.</w:t>
            </w:r>
          </w:p>
        </w:tc>
      </w:tr>
    </w:tbl>
    <w:p>
      <w:pPr>
        <w:spacing w:after="20"/>
      </w:pPr>
    </w:p>
    <w:p>
      <w:r>
        <w:rPr>
          <w:rFonts w:ascii="Calibri" w:hAnsi="Calibri"/>
          <w:i w:val="0"/>
          <w:color w:val="20262E"/>
        </w:rPr>
        <w:t>[Insert future-state map image or concise map reference]</w:t>
      </w:r>
    </w:p>
    <w:p>
      <w:pPr>
        <w:pStyle w:val="Heading2"/>
      </w:pPr>
      <w:r>
        <w:t>Design principles</w:t>
      </w:r>
    </w:p>
    <w:p>
      <w:pPr>
        <w:spacing w:before="0" w:after="80" w:line="300" w:lineRule="auto"/>
        <w:numPr>
          <w:ilvl w:val="0"/>
          <w:numId w:val="10"/>
        </w:numPr>
      </w:pPr>
      <w:r>
        <w:rPr>
          <w:rFonts w:ascii="Calibri" w:hAnsi="Calibri"/>
        </w:rPr>
        <w:t>[Principle tied to finding, e.g. one accountable owner for the next action.]</w:t>
      </w:r>
    </w:p>
    <w:p>
      <w:pPr>
        <w:spacing w:before="0" w:after="80" w:line="300" w:lineRule="auto"/>
        <w:numPr>
          <w:ilvl w:val="0"/>
          <w:numId w:val="10"/>
        </w:numPr>
      </w:pPr>
      <w:r>
        <w:rPr>
          <w:rFonts w:ascii="Calibri" w:hAnsi="Calibri"/>
        </w:rPr>
        <w:t>[Principle tied to information, e.g. capture once at the earliest reliable point.]</w:t>
      </w:r>
    </w:p>
    <w:p>
      <w:pPr>
        <w:spacing w:before="0" w:after="80" w:line="300" w:lineRule="auto"/>
        <w:numPr>
          <w:ilvl w:val="0"/>
          <w:numId w:val="10"/>
        </w:numPr>
      </w:pPr>
      <w:r>
        <w:rPr>
          <w:rFonts w:ascii="Calibri" w:hAnsi="Calibri"/>
        </w:rPr>
        <w:t>[Principle tied to visibility, e.g. one status view with ageing and exception flags.]</w:t>
      </w:r>
    </w:p>
    <w:p>
      <w:pPr>
        <w:spacing w:before="0" w:after="80" w:line="300" w:lineRule="auto"/>
        <w:numPr>
          <w:ilvl w:val="0"/>
          <w:numId w:val="10"/>
        </w:numPr>
      </w:pPr>
      <w:r>
        <w:rPr>
          <w:rFonts w:ascii="Calibri" w:hAnsi="Calibri"/>
        </w:rPr>
        <w:t>[Principle tied to control, e.g. defined human review before a material decision.]</w:t>
      </w:r>
    </w:p>
    <w:p>
      <w:pPr>
        <w:spacing w:before="0" w:after="80" w:line="300" w:lineRule="auto"/>
        <w:numPr>
          <w:ilvl w:val="0"/>
          <w:numId w:val="10"/>
        </w:numPr>
      </w:pPr>
      <w:r>
        <w:rPr>
          <w:rFonts w:ascii="Calibri" w:hAnsi="Calibri"/>
        </w:rPr>
        <w:t>[Principle tied to technology, e.g. configure approved existing tools before custom build.]</w:t>
      </w:r>
    </w:p>
    <w:p>
      <w:pPr>
        <w:pStyle w:val="Heading2"/>
      </w:pPr>
      <w:r>
        <w:t>Material changes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000"/>
        <w:gridCol w:w="2100"/>
        <w:gridCol w:w="2600"/>
        <w:gridCol w:w="1300"/>
        <w:gridCol w:w="2360"/>
      </w:tblGrid>
      <w:tr>
        <w:trPr>
          <w:tblHeader w:val="true"/>
          <w:cantSplit/>
        </w:trPr>
        <w:tc>
          <w:tcPr>
            <w:tcW w:type="dxa" w:w="10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6"/>
              </w:rPr>
              <w:t>Change ID</w:t>
            </w:r>
          </w:p>
        </w:tc>
        <w:tc>
          <w:tcPr>
            <w:tcW w:type="dxa" w:w="21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6"/>
              </w:rPr>
              <w:t>Current state</w:t>
            </w:r>
          </w:p>
        </w:tc>
        <w:tc>
          <w:tcPr>
            <w:tcW w:type="dxa" w:w="26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6"/>
              </w:rPr>
              <w:t>Future state</w:t>
            </w:r>
          </w:p>
        </w:tc>
        <w:tc>
          <w:tcPr>
            <w:tcW w:type="dxa" w:w="13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6"/>
              </w:rPr>
              <w:t>Owner</w:t>
            </w:r>
          </w:p>
        </w:tc>
        <w:tc>
          <w:tcPr>
            <w:tcW w:type="dxa" w:w="236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6"/>
              </w:rPr>
              <w:t>Control / dependency</w:t>
            </w:r>
          </w:p>
        </w:tc>
      </w:tr>
      <w:tr>
        <w:trPr>
          <w:cantSplit/>
        </w:trPr>
        <w:tc>
          <w:tcPr>
            <w:tcW w:type="dxa" w:w="10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C-01</w:t>
            </w:r>
          </w:p>
        </w:tc>
        <w:tc>
          <w:tcPr>
            <w:tcW w:type="dxa" w:w="21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 ]</w:t>
            </w:r>
          </w:p>
        </w:tc>
        <w:tc>
          <w:tcPr>
            <w:tcW w:type="dxa" w:w="26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 ]</w:t>
            </w:r>
          </w:p>
        </w:tc>
        <w:tc>
          <w:tcPr>
            <w:tcW w:type="dxa" w:w="13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[Role]</w:t>
            </w:r>
          </w:p>
        </w:tc>
        <w:tc>
          <w:tcPr>
            <w:tcW w:type="dxa" w:w="23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 ]</w:t>
            </w:r>
          </w:p>
        </w:tc>
      </w:tr>
      <w:tr>
        <w:trPr>
          <w:cantSplit/>
        </w:trPr>
        <w:tc>
          <w:tcPr>
            <w:tcW w:type="dxa" w:w="10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C-02</w:t>
            </w:r>
          </w:p>
        </w:tc>
        <w:tc>
          <w:tcPr>
            <w:tcW w:type="dxa" w:w="21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 ]</w:t>
            </w:r>
          </w:p>
        </w:tc>
        <w:tc>
          <w:tcPr>
            <w:tcW w:type="dxa" w:w="26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 ]</w:t>
            </w:r>
          </w:p>
        </w:tc>
        <w:tc>
          <w:tcPr>
            <w:tcW w:type="dxa" w:w="13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[Role]</w:t>
            </w:r>
          </w:p>
        </w:tc>
        <w:tc>
          <w:tcPr>
            <w:tcW w:type="dxa" w:w="23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 ]</w:t>
            </w:r>
          </w:p>
        </w:tc>
      </w:tr>
      <w:tr>
        <w:trPr>
          <w:cantSplit/>
        </w:trPr>
        <w:tc>
          <w:tcPr>
            <w:tcW w:type="dxa" w:w="10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C-03</w:t>
            </w:r>
          </w:p>
        </w:tc>
        <w:tc>
          <w:tcPr>
            <w:tcW w:type="dxa" w:w="21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 ]</w:t>
            </w:r>
          </w:p>
        </w:tc>
        <w:tc>
          <w:tcPr>
            <w:tcW w:type="dxa" w:w="26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 ]</w:t>
            </w:r>
          </w:p>
        </w:tc>
        <w:tc>
          <w:tcPr>
            <w:tcW w:type="dxa" w:w="13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[Role]</w:t>
            </w:r>
          </w:p>
        </w:tc>
        <w:tc>
          <w:tcPr>
            <w:tcW w:type="dxa" w:w="23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 ]</w:t>
            </w:r>
          </w:p>
        </w:tc>
      </w:tr>
    </w:tbl>
    <w:p>
      <w:pPr>
        <w:spacing w:after="20"/>
      </w:pPr>
    </w:p>
    <w:p>
      <w:pPr>
        <w:pStyle w:val="Heading1"/>
      </w:pPr>
      <w:r>
        <w:t>7. Prioritised improvement opportunities</w:t>
      </w:r>
    </w:p>
    <w:p>
      <w:r>
        <w:rPr>
          <w:rFonts w:ascii="Calibri" w:hAnsi="Calibri"/>
          <w:i w:val="0"/>
          <w:color w:val="20262E"/>
        </w:rPr>
        <w:t>Scores support ordering and are not an implementation approval. Any data, security, access, AI, clinical or regulatory dependency must be resolved before work begins.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600"/>
        <w:gridCol w:w="1900"/>
        <w:gridCol w:w="900"/>
        <w:gridCol w:w="700"/>
        <w:gridCol w:w="850"/>
        <w:gridCol w:w="2300"/>
        <w:gridCol w:w="2110"/>
      </w:tblGrid>
      <w:tr>
        <w:trPr>
          <w:tblHeader w:val="true"/>
          <w:cantSplit/>
        </w:trPr>
        <w:tc>
          <w:tcPr>
            <w:tcW w:type="dxa" w:w="6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5"/>
              </w:rPr>
              <w:t>ID</w:t>
            </w:r>
          </w:p>
        </w:tc>
        <w:tc>
          <w:tcPr>
            <w:tcW w:type="dxa" w:w="19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5"/>
              </w:rPr>
              <w:t>Opportunity</w:t>
            </w:r>
          </w:p>
        </w:tc>
        <w:tc>
          <w:tcPr>
            <w:tcW w:type="dxa" w:w="9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5"/>
              </w:rPr>
              <w:t>Findings</w:t>
            </w:r>
          </w:p>
        </w:tc>
        <w:tc>
          <w:tcPr>
            <w:tcW w:type="dxa" w:w="7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5"/>
              </w:rPr>
              <w:t>Score</w:t>
            </w:r>
          </w:p>
        </w:tc>
        <w:tc>
          <w:tcPr>
            <w:tcW w:type="dxa" w:w="85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5"/>
              </w:rPr>
              <w:t>Priority</w:t>
            </w:r>
          </w:p>
        </w:tc>
        <w:tc>
          <w:tcPr>
            <w:tcW w:type="dxa" w:w="23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5"/>
              </w:rPr>
              <w:t>High-level option</w:t>
            </w:r>
          </w:p>
        </w:tc>
        <w:tc>
          <w:tcPr>
            <w:tcW w:type="dxa" w:w="211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5"/>
              </w:rPr>
              <w:t>Dependencies</w:t>
            </w:r>
          </w:p>
        </w:tc>
      </w:tr>
      <w:tr>
        <w:trPr>
          <w:cantSplit/>
        </w:trPr>
        <w:tc>
          <w:tcPr>
            <w:tcW w:type="dxa" w:w="6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5"/>
              </w:rPr>
              <w:t>O-01</w:t>
            </w:r>
          </w:p>
        </w:tc>
        <w:tc>
          <w:tcPr>
            <w:tcW w:type="dxa" w:w="19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5"/>
              </w:rPr>
              <w:t>[Opportunity]</w:t>
            </w:r>
          </w:p>
        </w:tc>
        <w:tc>
          <w:tcPr>
            <w:tcW w:type="dxa" w:w="9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5"/>
              </w:rPr>
              <w:t>[Finding IDs]</w:t>
            </w:r>
          </w:p>
        </w:tc>
        <w:tc>
          <w:tcPr>
            <w:tcW w:type="dxa" w:w="7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5"/>
              </w:rPr>
              <w:t>[Score]</w:t>
            </w:r>
          </w:p>
        </w:tc>
        <w:tc>
          <w:tcPr>
            <w:tcW w:type="dxa" w:w="850"/>
            <w:vAlign w:val="center"/>
            <w:tcMar>
              <w:top w:w="80" w:type="dxa"/>
              <w:start w:w="120" w:type="dxa"/>
              <w:bottom w:w="80" w:type="dxa"/>
              <w:end w:w="120" w:type="dxa"/>
            </w:tcMar>
          </w:tcPr>
          <w:p>
            <w:pPr>
              <w:spacing w:before="0" w:after="0" w:line="269" w:lineRule="auto"/>
              <w:jc w:val="left"/>
            </w:pPr>
            <w:r>
              <w:rPr>
                <w:rFonts w:ascii="Calibri" w:hAnsi="Calibri"/>
                <w:b w:val="0"/>
                <w:color w:val="20262E"/>
                <w:sz w:val="15"/>
              </w:rPr>
              <w:t>[P1/P2/P3/Park]</w:t>
            </w:r>
          </w:p>
        </w:tc>
        <w:tc>
          <w:tcPr>
            <w:tcW w:type="dxa" w:w="23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5"/>
              </w:rPr>
              <w:t>[Process / configure / low-code / build / controlled AI / no change]</w:t>
            </w:r>
          </w:p>
        </w:tc>
        <w:tc>
          <w:tcPr>
            <w:tcW w:type="dxa" w:w="2110"/>
            <w:vAlign w:val="center"/>
            <w:tcMar>
              <w:top w:w="80" w:type="dxa"/>
              <w:start w:w="120" w:type="dxa"/>
              <w:bottom w:w="80" w:type="dxa"/>
              <w:end w:w="120" w:type="dxa"/>
            </w:tcMar>
          </w:tcPr>
          <w:p>
            <w:pPr>
              <w:spacing w:before="0" w:after="0" w:line="269" w:lineRule="auto"/>
              <w:jc w:val="left"/>
            </w:pPr>
            <w:r>
              <w:rPr>
                <w:rFonts w:ascii="Calibri" w:hAnsi="Calibri"/>
                <w:b w:val="0"/>
                <w:color w:val="20262E"/>
                <w:sz w:val="15"/>
              </w:rPr>
              <w:t>[Dependencies]</w:t>
            </w:r>
          </w:p>
        </w:tc>
      </w:tr>
      <w:tr>
        <w:trPr>
          <w:cantSplit/>
        </w:trPr>
        <w:tc>
          <w:tcPr>
            <w:tcW w:type="dxa" w:w="6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5"/>
              </w:rPr>
              <w:t>O-02</w:t>
            </w:r>
          </w:p>
        </w:tc>
        <w:tc>
          <w:tcPr>
            <w:tcW w:type="dxa" w:w="19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5"/>
              </w:rPr>
              <w:t>[ ]</w:t>
            </w:r>
          </w:p>
        </w:tc>
        <w:tc>
          <w:tcPr>
            <w:tcW w:type="dxa" w:w="9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5"/>
              </w:rPr>
              <w:t>[ ]</w:t>
            </w:r>
          </w:p>
        </w:tc>
        <w:tc>
          <w:tcPr>
            <w:tcW w:type="dxa" w:w="7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5"/>
              </w:rPr>
              <w:t>[ ]</w:t>
            </w:r>
          </w:p>
        </w:tc>
        <w:tc>
          <w:tcPr>
            <w:tcW w:type="dxa" w:w="85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5"/>
              </w:rPr>
              <w:t>[ ]</w:t>
            </w:r>
          </w:p>
        </w:tc>
        <w:tc>
          <w:tcPr>
            <w:tcW w:type="dxa" w:w="23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5"/>
              </w:rPr>
              <w:t>[ ]</w:t>
            </w:r>
          </w:p>
        </w:tc>
        <w:tc>
          <w:tcPr>
            <w:tcW w:type="dxa" w:w="211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5"/>
              </w:rPr>
              <w:t>[ ]</w:t>
            </w:r>
          </w:p>
        </w:tc>
      </w:tr>
      <w:tr>
        <w:trPr>
          <w:cantSplit/>
        </w:trPr>
        <w:tc>
          <w:tcPr>
            <w:tcW w:type="dxa" w:w="6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5"/>
              </w:rPr>
              <w:t>O-03</w:t>
            </w:r>
          </w:p>
        </w:tc>
        <w:tc>
          <w:tcPr>
            <w:tcW w:type="dxa" w:w="19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5"/>
              </w:rPr>
              <w:t>[ ]</w:t>
            </w:r>
          </w:p>
        </w:tc>
        <w:tc>
          <w:tcPr>
            <w:tcW w:type="dxa" w:w="9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5"/>
              </w:rPr>
              <w:t>[ ]</w:t>
            </w:r>
          </w:p>
        </w:tc>
        <w:tc>
          <w:tcPr>
            <w:tcW w:type="dxa" w:w="7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5"/>
              </w:rPr>
              <w:t>[ ]</w:t>
            </w:r>
          </w:p>
        </w:tc>
        <w:tc>
          <w:tcPr>
            <w:tcW w:type="dxa" w:w="850"/>
            <w:vAlign w:val="center"/>
            <w:tcMar>
              <w:top w:w="80" w:type="dxa"/>
              <w:start w:w="120" w:type="dxa"/>
              <w:bottom w:w="80" w:type="dxa"/>
              <w:end w:w="120" w:type="dxa"/>
            </w:tcMar>
          </w:tcPr>
          <w:p>
            <w:pPr>
              <w:spacing w:before="0" w:after="0" w:line="269" w:lineRule="auto"/>
              <w:jc w:val="left"/>
            </w:pPr>
            <w:r>
              <w:rPr>
                <w:rFonts w:ascii="Calibri" w:hAnsi="Calibri"/>
                <w:b w:val="0"/>
                <w:color w:val="20262E"/>
                <w:sz w:val="15"/>
              </w:rPr>
              <w:t>[ ]</w:t>
            </w:r>
          </w:p>
        </w:tc>
        <w:tc>
          <w:tcPr>
            <w:tcW w:type="dxa" w:w="23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5"/>
              </w:rPr>
              <w:t>[ ]</w:t>
            </w:r>
          </w:p>
        </w:tc>
        <w:tc>
          <w:tcPr>
            <w:tcW w:type="dxa" w:w="2110"/>
            <w:vAlign w:val="center"/>
            <w:tcMar>
              <w:top w:w="80" w:type="dxa"/>
              <w:start w:w="120" w:type="dxa"/>
              <w:bottom w:w="80" w:type="dxa"/>
              <w:end w:w="120" w:type="dxa"/>
            </w:tcMar>
          </w:tcPr>
          <w:p>
            <w:pPr>
              <w:spacing w:before="0" w:after="0" w:line="269" w:lineRule="auto"/>
              <w:jc w:val="left"/>
            </w:pPr>
            <w:r>
              <w:rPr>
                <w:rFonts w:ascii="Calibri" w:hAnsi="Calibri"/>
                <w:b w:val="0"/>
                <w:color w:val="20262E"/>
                <w:sz w:val="15"/>
              </w:rPr>
              <w:t>[ ]</w:t>
            </w:r>
          </w:p>
        </w:tc>
      </w:tr>
    </w:tbl>
    <w:p>
      <w:pPr>
        <w:spacing w:after="20"/>
      </w:pPr>
    </w:p>
    <w:p>
      <w:pPr>
        <w:pStyle w:val="Heading1"/>
      </w:pPr>
      <w:r>
        <w:t>8. Implementation options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100"/>
        <w:gridCol w:w="2450"/>
        <w:gridCol w:w="2200"/>
        <w:gridCol w:w="2610"/>
      </w:tblGrid>
      <w:tr>
        <w:trPr>
          <w:tblHeader w:val="true"/>
          <w:cantSplit/>
        </w:trPr>
        <w:tc>
          <w:tcPr>
            <w:tcW w:type="dxa" w:w="21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6"/>
              </w:rPr>
              <w:t>Option</w:t>
            </w:r>
          </w:p>
        </w:tc>
        <w:tc>
          <w:tcPr>
            <w:tcW w:type="dxa" w:w="245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6"/>
              </w:rPr>
              <w:t>When it fits</w:t>
            </w:r>
          </w:p>
        </w:tc>
        <w:tc>
          <w:tcPr>
            <w:tcW w:type="dxa" w:w="22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6"/>
              </w:rPr>
              <w:t>Advantages</w:t>
            </w:r>
          </w:p>
        </w:tc>
        <w:tc>
          <w:tcPr>
            <w:tcW w:type="dxa" w:w="261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6"/>
              </w:rPr>
              <w:t>Trade-offs / gates</w:t>
            </w:r>
          </w:p>
        </w:tc>
      </w:tr>
      <w:tr>
        <w:trPr>
          <w:cantSplit/>
        </w:trPr>
        <w:tc>
          <w:tcPr>
            <w:tcW w:type="dxa" w:w="21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Process and ownership change</w:t>
            </w:r>
          </w:p>
        </w:tc>
        <w:tc>
          <w:tcPr>
            <w:tcW w:type="dxa" w:w="245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Problem is caused by unclear rules, roles or handovers.</w:t>
            </w:r>
          </w:p>
        </w:tc>
        <w:tc>
          <w:tcPr>
            <w:tcW w:type="dxa" w:w="22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Fastest; low technical dependency.</w:t>
            </w:r>
          </w:p>
        </w:tc>
        <w:tc>
          <w:tcPr>
            <w:tcW w:type="dxa" w:w="261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Requires adoption, management follow-through and monitoring.</w:t>
            </w:r>
          </w:p>
        </w:tc>
      </w:tr>
      <w:tr>
        <w:trPr>
          <w:cantSplit/>
        </w:trPr>
        <w:tc>
          <w:tcPr>
            <w:tcW w:type="dxa" w:w="21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Configure approved existing tools</w:t>
            </w:r>
          </w:p>
        </w:tc>
        <w:tc>
          <w:tcPr>
            <w:tcW w:type="dxa" w:w="245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Current platform can support fields, status, alerts or views.</w:t>
            </w:r>
          </w:p>
        </w:tc>
        <w:tc>
          <w:tcPr>
            <w:tcW w:type="dxa" w:w="22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Lower maintenance; familiar environment.</w:t>
            </w:r>
          </w:p>
        </w:tc>
        <w:tc>
          <w:tcPr>
            <w:tcW w:type="dxa" w:w="261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Platform limits, permissions and governance still apply.</w:t>
            </w:r>
          </w:p>
        </w:tc>
      </w:tr>
      <w:tr>
        <w:trPr>
          <w:cantSplit/>
        </w:trPr>
        <w:tc>
          <w:tcPr>
            <w:tcW w:type="dxa" w:w="21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Low-code workflow</w:t>
            </w:r>
          </w:p>
        </w:tc>
        <w:tc>
          <w:tcPr>
            <w:tcW w:type="dxa" w:w="245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Defined repeatable rules need orchestration or visibility.</w:t>
            </w:r>
          </w:p>
        </w:tc>
        <w:tc>
          <w:tcPr>
            <w:tcW w:type="dxa" w:w="22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Can reduce manual coordination.</w:t>
            </w:r>
          </w:p>
        </w:tc>
        <w:tc>
          <w:tcPr>
            <w:tcW w:type="dxa" w:w="261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Requires ownership, testing, support and change control.</w:t>
            </w:r>
          </w:p>
        </w:tc>
      </w:tr>
      <w:tr>
        <w:trPr>
          <w:cantSplit/>
        </w:trPr>
        <w:tc>
          <w:tcPr>
            <w:tcW w:type="dxa" w:w="21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Tailored internal system</w:t>
            </w:r>
          </w:p>
        </w:tc>
        <w:tc>
          <w:tcPr>
            <w:tcW w:type="dxa" w:w="245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Need cannot be met maintainably in approved tools.</w:t>
            </w:r>
          </w:p>
        </w:tc>
        <w:tc>
          <w:tcPr>
            <w:tcW w:type="dxa" w:w="22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Can fit the workflow closely.</w:t>
            </w:r>
          </w:p>
        </w:tc>
        <w:tc>
          <w:tcPr>
            <w:tcW w:type="dxa" w:w="261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Higher cost, delivery risk and ongoing support responsibility.</w:t>
            </w:r>
          </w:p>
        </w:tc>
      </w:tr>
      <w:tr>
        <w:trPr>
          <w:cantSplit/>
        </w:trPr>
        <w:tc>
          <w:tcPr>
            <w:tcW w:type="dxa" w:w="21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Controlled AI assistance</w:t>
            </w:r>
          </w:p>
        </w:tc>
        <w:tc>
          <w:tcPr>
            <w:tcW w:type="dxa" w:w="245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A bounded drafting, summarising or extraction use case has suitable data and review.</w:t>
            </w:r>
          </w:p>
        </w:tc>
        <w:tc>
          <w:tcPr>
            <w:tcW w:type="dxa" w:w="22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May assist repetitive knowledge work.</w:t>
            </w:r>
          </w:p>
        </w:tc>
        <w:tc>
          <w:tcPr>
            <w:tcW w:type="dxa" w:w="261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Requires approved tool/use case, input limits, human review and monitoring.</w:t>
            </w:r>
          </w:p>
        </w:tc>
      </w:tr>
      <w:tr>
        <w:trPr>
          <w:cantSplit/>
        </w:trPr>
        <w:tc>
          <w:tcPr>
            <w:tcW w:type="dxa" w:w="21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No project</w:t>
            </w:r>
          </w:p>
        </w:tc>
        <w:tc>
          <w:tcPr>
            <w:tcW w:type="dxa" w:w="245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Benefit is insufficient, evidence is weak or change risk is disproportionate.</w:t>
            </w:r>
          </w:p>
        </w:tc>
        <w:tc>
          <w:tcPr>
            <w:tcW w:type="dxa" w:w="22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Avoids unnecessary spend and complexity.</w:t>
            </w:r>
          </w:p>
        </w:tc>
        <w:tc>
          <w:tcPr>
            <w:tcW w:type="dxa" w:w="261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Document what would justify reconsideration.</w:t>
            </w:r>
          </w:p>
        </w:tc>
      </w:tr>
    </w:tbl>
    <w:p>
      <w:pPr>
        <w:spacing w:after="20"/>
      </w:pPr>
    </w:p>
    <w:p>
      <w:pPr>
        <w:pStyle w:val="Heading1"/>
      </w:pPr>
      <w:r>
        <w:t>9. Recommended sequence</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300"/>
        <w:gridCol w:w="2800"/>
        <w:gridCol w:w="1300"/>
        <w:gridCol w:w="2360"/>
        <w:gridCol w:w="1600"/>
      </w:tblGrid>
      <w:tr>
        <w:trPr>
          <w:tblHeader w:val="true"/>
          <w:cantSplit/>
        </w:trPr>
        <w:tc>
          <w:tcPr>
            <w:tcW w:type="dxa" w:w="13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6"/>
              </w:rPr>
              <w:t>Horizon</w:t>
            </w:r>
          </w:p>
        </w:tc>
        <w:tc>
          <w:tcPr>
            <w:tcW w:type="dxa" w:w="28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6"/>
              </w:rPr>
              <w:t>Action</w:t>
            </w:r>
          </w:p>
        </w:tc>
        <w:tc>
          <w:tcPr>
            <w:tcW w:type="dxa" w:w="13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6"/>
              </w:rPr>
              <w:t>Owner</w:t>
            </w:r>
          </w:p>
        </w:tc>
        <w:tc>
          <w:tcPr>
            <w:tcW w:type="dxa" w:w="236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6"/>
              </w:rPr>
              <w:t>Evidence of completion</w:t>
            </w:r>
          </w:p>
        </w:tc>
        <w:tc>
          <w:tcPr>
            <w:tcW w:type="dxa" w:w="16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6"/>
              </w:rPr>
              <w:t>Dependency</w:t>
            </w:r>
          </w:p>
        </w:tc>
      </w:tr>
      <w:tr>
        <w:trPr>
          <w:cantSplit/>
        </w:trPr>
        <w:tc>
          <w:tcPr>
            <w:tcW w:type="dxa" w:w="13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0-30 days</w:t>
            </w:r>
          </w:p>
        </w:tc>
        <w:tc>
          <w:tcPr>
            <w:tcW w:type="dxa" w:w="28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[Immediate process, ownership or evidence action]</w:t>
            </w:r>
          </w:p>
        </w:tc>
        <w:tc>
          <w:tcPr>
            <w:tcW w:type="dxa" w:w="13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[Role]</w:t>
            </w:r>
          </w:p>
        </w:tc>
        <w:tc>
          <w:tcPr>
            <w:tcW w:type="dxa" w:w="23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[Observable result]</w:t>
            </w:r>
          </w:p>
        </w:tc>
        <w:tc>
          <w:tcPr>
            <w:tcW w:type="dxa" w:w="16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 ]</w:t>
            </w:r>
          </w:p>
        </w:tc>
      </w:tr>
      <w:tr>
        <w:trPr>
          <w:cantSplit/>
        </w:trPr>
        <w:tc>
          <w:tcPr>
            <w:tcW w:type="dxa" w:w="13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31-60 days</w:t>
            </w:r>
          </w:p>
        </w:tc>
        <w:tc>
          <w:tcPr>
            <w:tcW w:type="dxa" w:w="28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[Configuration, pilot or control action]</w:t>
            </w:r>
          </w:p>
        </w:tc>
        <w:tc>
          <w:tcPr>
            <w:tcW w:type="dxa" w:w="13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[Role]</w:t>
            </w:r>
          </w:p>
        </w:tc>
        <w:tc>
          <w:tcPr>
            <w:tcW w:type="dxa" w:w="23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[Observable result]</w:t>
            </w:r>
          </w:p>
        </w:tc>
        <w:tc>
          <w:tcPr>
            <w:tcW w:type="dxa" w:w="16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 ]</w:t>
            </w:r>
          </w:p>
        </w:tc>
      </w:tr>
      <w:tr>
        <w:trPr>
          <w:cantSplit/>
        </w:trPr>
        <w:tc>
          <w:tcPr>
            <w:tcW w:type="dxa" w:w="13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61-90 days</w:t>
            </w:r>
          </w:p>
        </w:tc>
        <w:tc>
          <w:tcPr>
            <w:tcW w:type="dxa" w:w="28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[Evaluate, scale, build decision or stop]</w:t>
            </w:r>
          </w:p>
        </w:tc>
        <w:tc>
          <w:tcPr>
            <w:tcW w:type="dxa" w:w="13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[Role]</w:t>
            </w:r>
          </w:p>
        </w:tc>
        <w:tc>
          <w:tcPr>
            <w:tcW w:type="dxa" w:w="23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[Observable result]</w:t>
            </w:r>
          </w:p>
        </w:tc>
        <w:tc>
          <w:tcPr>
            <w:tcW w:type="dxa" w:w="16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 ]</w:t>
            </w:r>
          </w:p>
        </w:tc>
      </w:tr>
    </w:tbl>
    <w:p>
      <w:pPr>
        <w:spacing w:after="20"/>
      </w:pPr>
    </w:p>
    <w:p>
      <w:pPr>
        <w:pStyle w:val="Heading1"/>
      </w:pPr>
      <w:r>
        <w:t>10. Risks, assumptions and decisions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700"/>
        <w:gridCol w:w="1100"/>
        <w:gridCol w:w="3300"/>
        <w:gridCol w:w="1300"/>
        <w:gridCol w:w="1800"/>
        <w:gridCol w:w="1160"/>
      </w:tblGrid>
      <w:tr>
        <w:trPr>
          <w:tblHeader w:val="true"/>
          <w:cantSplit/>
        </w:trPr>
        <w:tc>
          <w:tcPr>
            <w:tcW w:type="dxa" w:w="7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6"/>
              </w:rPr>
              <w:t>ID</w:t>
            </w:r>
          </w:p>
        </w:tc>
        <w:tc>
          <w:tcPr>
            <w:tcW w:type="dxa" w:w="11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6"/>
              </w:rPr>
              <w:t>Type</w:t>
            </w:r>
          </w:p>
        </w:tc>
        <w:tc>
          <w:tcPr>
            <w:tcW w:type="dxa" w:w="33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6"/>
              </w:rPr>
              <w:t>Statement</w:t>
            </w:r>
          </w:p>
        </w:tc>
        <w:tc>
          <w:tcPr>
            <w:tcW w:type="dxa" w:w="13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6"/>
              </w:rPr>
              <w:t>Owner</w:t>
            </w:r>
          </w:p>
        </w:tc>
        <w:tc>
          <w:tcPr>
            <w:tcW w:type="dxa" w:w="18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6"/>
              </w:rPr>
              <w:t>Action / due</w:t>
            </w:r>
          </w:p>
        </w:tc>
        <w:tc>
          <w:tcPr>
            <w:tcW w:type="dxa" w:w="116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6"/>
              </w:rPr>
              <w:t>Status</w:t>
            </w:r>
          </w:p>
        </w:tc>
      </w:tr>
      <w:tr>
        <w:trPr>
          <w:cantSplit/>
        </w:trPr>
        <w:tc>
          <w:tcPr>
            <w:tcW w:type="dxa" w:w="7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R-01</w:t>
            </w:r>
          </w:p>
        </w:tc>
        <w:tc>
          <w:tcPr>
            <w:tcW w:type="dxa" w:w="11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Risk</w:t>
            </w:r>
          </w:p>
        </w:tc>
        <w:tc>
          <w:tcPr>
            <w:tcW w:type="dxa" w:w="33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 ]</w:t>
            </w:r>
          </w:p>
        </w:tc>
        <w:tc>
          <w:tcPr>
            <w:tcW w:type="dxa" w:w="13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 ]</w:t>
            </w:r>
          </w:p>
        </w:tc>
        <w:tc>
          <w:tcPr>
            <w:tcW w:type="dxa" w:w="18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 ]</w:t>
            </w:r>
          </w:p>
        </w:tc>
        <w:tc>
          <w:tcPr>
            <w:tcW w:type="dxa" w:w="11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[Open]</w:t>
            </w:r>
          </w:p>
        </w:tc>
      </w:tr>
      <w:tr>
        <w:trPr>
          <w:cantSplit/>
        </w:trPr>
        <w:tc>
          <w:tcPr>
            <w:tcW w:type="dxa" w:w="7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A-01</w:t>
            </w:r>
          </w:p>
        </w:tc>
        <w:tc>
          <w:tcPr>
            <w:tcW w:type="dxa" w:w="11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Assumption</w:t>
            </w:r>
          </w:p>
        </w:tc>
        <w:tc>
          <w:tcPr>
            <w:tcW w:type="dxa" w:w="33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 ]</w:t>
            </w:r>
          </w:p>
        </w:tc>
        <w:tc>
          <w:tcPr>
            <w:tcW w:type="dxa" w:w="13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 ]</w:t>
            </w:r>
          </w:p>
        </w:tc>
        <w:tc>
          <w:tcPr>
            <w:tcW w:type="dxa" w:w="18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 ]</w:t>
            </w:r>
          </w:p>
        </w:tc>
        <w:tc>
          <w:tcPr>
            <w:tcW w:type="dxa" w:w="11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[To confirm]</w:t>
            </w:r>
          </w:p>
        </w:tc>
      </w:tr>
      <w:tr>
        <w:trPr>
          <w:cantSplit/>
        </w:trPr>
        <w:tc>
          <w:tcPr>
            <w:tcW w:type="dxa" w:w="7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D-01</w:t>
            </w:r>
          </w:p>
        </w:tc>
        <w:tc>
          <w:tcPr>
            <w:tcW w:type="dxa" w:w="11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Decision</w:t>
            </w:r>
          </w:p>
        </w:tc>
        <w:tc>
          <w:tcPr>
            <w:tcW w:type="dxa" w:w="33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 ]</w:t>
            </w:r>
          </w:p>
        </w:tc>
        <w:tc>
          <w:tcPr>
            <w:tcW w:type="dxa" w:w="13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 ]</w:t>
            </w:r>
          </w:p>
        </w:tc>
        <w:tc>
          <w:tcPr>
            <w:tcW w:type="dxa" w:w="18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 ]</w:t>
            </w:r>
          </w:p>
        </w:tc>
        <w:tc>
          <w:tcPr>
            <w:tcW w:type="dxa" w:w="11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[Made / due]</w:t>
            </w:r>
          </w:p>
        </w:tc>
      </w:tr>
    </w:tbl>
    <w:p>
      <w:pPr>
        <w:spacing w:after="20"/>
      </w:pPr>
    </w:p>
    <w:p>
      <w:pPr>
        <w:pStyle w:val="Heading1"/>
      </w:pPr>
      <w:r>
        <w:t>11. Measures for a future implementation</w:t>
      </w:r>
    </w:p>
    <w:tbl>
      <w:tblPr>
        <w:tblW w:type="dxa" w:w="9360"/>
        <w:jc w:val="left"/>
        <w:tblLayout w:type="fixed"/>
        <w:tblLook w:firstColumn="1" w:firstRow="1" w:lastColumn="0" w:lastRow="0" w:noHBand="0" w:noVBand="1" w:val="04A0"/>
        <w:tblInd w:type="dxa" w:w="120"/>
        <w:tblBorders>
          <w:top w:val="single" w:sz="2" w:space="0" w:color="FFF4CE"/>
          <w:left w:val="single" w:sz="2" w:space="0" w:color="FFF4CE"/>
          <w:bottom w:val="single" w:sz="2" w:space="0" w:color="FFF4CE"/>
          <w:right w:val="single" w:sz="2" w:space="0" w:color="FFF4CE"/>
          <w:insideH w:val="single" w:sz="2" w:space="0" w:color="FFF4CE"/>
          <w:insideV w:val="single" w:sz="2" w:space="0" w:color="FFF4CE"/>
        </w:tblBorders>
      </w:tblPr>
      <w:tblGrid>
        <w:gridCol w:w="9360"/>
      </w:tblGrid>
      <w:tr>
        <w:trPr>
          <w:cantSplit/>
        </w:trPr>
        <w:tc>
          <w:tcPr>
            <w:tcW w:type="dxa" w:w="9360"/>
            <w:shd w:fill="FFF4CE"/>
            <w:vAlign w:val="center"/>
            <w:tcMar>
              <w:top w:w="80" w:type="dxa"/>
              <w:start w:w="120" w:type="dxa"/>
              <w:bottom w:w="80" w:type="dxa"/>
              <w:end w:w="120" w:type="dxa"/>
            </w:tcMar>
          </w:tcPr>
          <w:p>
            <w:pPr>
              <w:spacing w:after="0"/>
            </w:pPr>
            <w:r>
              <w:rPr>
                <w:rFonts w:ascii="Calibri" w:hAnsi="Calibri"/>
                <w:b/>
                <w:color w:val="17324D"/>
                <w:sz w:val="20"/>
              </w:rPr>
              <w:t xml:space="preserve">No guarantee: </w:t>
            </w:r>
            <w:r>
              <w:rPr>
                <w:rFonts w:ascii="Calibri" w:hAnsi="Calibri"/>
                <w:color w:val="20262E"/>
                <w:sz w:val="20"/>
              </w:rPr>
              <w:t>These are proposed measures, not promised outcomes. Establish a baseline, owner, method and review period before using a metric to judge success.</w:t>
            </w:r>
          </w:p>
        </w:tc>
      </w:tr>
    </w:tbl>
    <w:p>
      <w:pPr>
        <w:spacing w:after="20"/>
      </w:pP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500"/>
        <w:gridCol w:w="2300"/>
        <w:gridCol w:w="1100"/>
        <w:gridCol w:w="2100"/>
        <w:gridCol w:w="1100"/>
        <w:gridCol w:w="1260"/>
      </w:tblGrid>
      <w:tr>
        <w:trPr>
          <w:tblHeader w:val="true"/>
          <w:cantSplit/>
        </w:trPr>
        <w:tc>
          <w:tcPr>
            <w:tcW w:type="dxa" w:w="15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6"/>
              </w:rPr>
              <w:t>Measure</w:t>
            </w:r>
          </w:p>
        </w:tc>
        <w:tc>
          <w:tcPr>
            <w:tcW w:type="dxa" w:w="23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6"/>
              </w:rPr>
              <w:t>Definition</w:t>
            </w:r>
          </w:p>
        </w:tc>
        <w:tc>
          <w:tcPr>
            <w:tcW w:type="dxa" w:w="11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6"/>
              </w:rPr>
              <w:t>Baseline</w:t>
            </w:r>
          </w:p>
        </w:tc>
        <w:tc>
          <w:tcPr>
            <w:tcW w:type="dxa" w:w="21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6"/>
              </w:rPr>
              <w:t>Method / source</w:t>
            </w:r>
          </w:p>
        </w:tc>
        <w:tc>
          <w:tcPr>
            <w:tcW w:type="dxa" w:w="11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6"/>
              </w:rPr>
              <w:t>Owner</w:t>
            </w:r>
          </w:p>
        </w:tc>
        <w:tc>
          <w:tcPr>
            <w:tcW w:type="dxa" w:w="126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6"/>
              </w:rPr>
              <w:t>Review point</w:t>
            </w:r>
          </w:p>
        </w:tc>
      </w:tr>
      <w:tr>
        <w:trPr>
          <w:cantSplit/>
        </w:trPr>
        <w:tc>
          <w:tcPr>
            <w:tcW w:type="dxa" w:w="15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[Cycle time]</w:t>
            </w:r>
          </w:p>
        </w:tc>
        <w:tc>
          <w:tcPr>
            <w:tcW w:type="dxa" w:w="23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[Start-to-end definition]</w:t>
            </w:r>
          </w:p>
        </w:tc>
        <w:tc>
          <w:tcPr>
            <w:tcW w:type="dxa" w:w="11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[Unknown / value]</w:t>
            </w:r>
          </w:p>
        </w:tc>
        <w:tc>
          <w:tcPr>
            <w:tcW w:type="dxa" w:w="21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 ]</w:t>
            </w:r>
          </w:p>
        </w:tc>
        <w:tc>
          <w:tcPr>
            <w:tcW w:type="dxa" w:w="11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[Role]</w:t>
            </w:r>
          </w:p>
        </w:tc>
        <w:tc>
          <w:tcPr>
            <w:tcW w:type="dxa" w:w="12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[Date]</w:t>
            </w:r>
          </w:p>
        </w:tc>
      </w:tr>
      <w:tr>
        <w:trPr>
          <w:cantSplit/>
        </w:trPr>
        <w:tc>
          <w:tcPr>
            <w:tcW w:type="dxa" w:w="15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[Overdue items]</w:t>
            </w:r>
          </w:p>
        </w:tc>
        <w:tc>
          <w:tcPr>
            <w:tcW w:type="dxa" w:w="23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[Threshold and denominator]</w:t>
            </w:r>
          </w:p>
        </w:tc>
        <w:tc>
          <w:tcPr>
            <w:tcW w:type="dxa" w:w="11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 ]</w:t>
            </w:r>
          </w:p>
        </w:tc>
        <w:tc>
          <w:tcPr>
            <w:tcW w:type="dxa" w:w="21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 ]</w:t>
            </w:r>
          </w:p>
        </w:tc>
        <w:tc>
          <w:tcPr>
            <w:tcW w:type="dxa" w:w="11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[Role]</w:t>
            </w:r>
          </w:p>
        </w:tc>
        <w:tc>
          <w:tcPr>
            <w:tcW w:type="dxa" w:w="12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[Date]</w:t>
            </w:r>
          </w:p>
        </w:tc>
      </w:tr>
      <w:tr>
        <w:trPr>
          <w:cantSplit/>
        </w:trPr>
        <w:tc>
          <w:tcPr>
            <w:tcW w:type="dxa" w:w="15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[Rework]</w:t>
            </w:r>
          </w:p>
        </w:tc>
        <w:tc>
          <w:tcPr>
            <w:tcW w:type="dxa" w:w="23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[What counts as rework]</w:t>
            </w:r>
          </w:p>
        </w:tc>
        <w:tc>
          <w:tcPr>
            <w:tcW w:type="dxa" w:w="11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 ]</w:t>
            </w:r>
          </w:p>
        </w:tc>
        <w:tc>
          <w:tcPr>
            <w:tcW w:type="dxa" w:w="21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 ]</w:t>
            </w:r>
          </w:p>
        </w:tc>
        <w:tc>
          <w:tcPr>
            <w:tcW w:type="dxa" w:w="11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[Role]</w:t>
            </w:r>
          </w:p>
        </w:tc>
        <w:tc>
          <w:tcPr>
            <w:tcW w:type="dxa" w:w="12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[Date]</w:t>
            </w:r>
          </w:p>
        </w:tc>
      </w:tr>
      <w:tr>
        <w:trPr>
          <w:cantSplit/>
        </w:trPr>
        <w:tc>
          <w:tcPr>
            <w:tcW w:type="dxa" w:w="15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[Visibility]</w:t>
            </w:r>
          </w:p>
        </w:tc>
        <w:tc>
          <w:tcPr>
            <w:tcW w:type="dxa" w:w="23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[Status completeness / review cadence]</w:t>
            </w:r>
          </w:p>
        </w:tc>
        <w:tc>
          <w:tcPr>
            <w:tcW w:type="dxa" w:w="11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 ]</w:t>
            </w:r>
          </w:p>
        </w:tc>
        <w:tc>
          <w:tcPr>
            <w:tcW w:type="dxa" w:w="21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 ]</w:t>
            </w:r>
          </w:p>
        </w:tc>
        <w:tc>
          <w:tcPr>
            <w:tcW w:type="dxa" w:w="11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[Role]</w:t>
            </w:r>
          </w:p>
        </w:tc>
        <w:tc>
          <w:tcPr>
            <w:tcW w:type="dxa" w:w="12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[Date]</w:t>
            </w:r>
          </w:p>
        </w:tc>
      </w:tr>
    </w:tbl>
    <w:p>
      <w:pPr>
        <w:spacing w:after="20"/>
      </w:pPr>
    </w:p>
    <w:p>
      <w:pPr>
        <w:pStyle w:val="Heading1"/>
      </w:pPr>
      <w:r>
        <w:t>12. Next-step decision</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700"/>
        <w:gridCol w:w="6660"/>
      </w:tblGrid>
      <w:tr>
        <w:trPr>
          <w:tblHeader w:val="true"/>
          <w:cantSplit/>
        </w:trPr>
        <w:tc>
          <w:tcPr>
            <w:tcW w:type="dxa" w:w="2700"/>
            <w:shd w:fill="E8EEF5"/>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Field</w:t>
            </w:r>
          </w:p>
        </w:tc>
        <w:tc>
          <w:tcPr>
            <w:tcW w:type="dxa" w:w="6660"/>
            <w:shd w:fill="E8EEF5"/>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Response</w:t>
            </w:r>
          </w:p>
        </w:tc>
      </w:tr>
      <w:tr>
        <w:trPr>
          <w:cantSplit/>
        </w:trPr>
        <w:tc>
          <w:tcPr>
            <w:tcW w:type="dxa" w:w="2700"/>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Recommended decision</w:t>
            </w:r>
          </w:p>
        </w:tc>
        <w:tc>
          <w:tcPr>
            <w:tcW w:type="dxa" w:w="66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[Proceed to a defined next step / complete process changes / gather evidence / no project]</w:t>
            </w:r>
          </w:p>
        </w:tc>
      </w:tr>
      <w:tr>
        <w:trPr>
          <w:cantSplit/>
        </w:trPr>
        <w:tc>
          <w:tcPr>
            <w:tcW w:type="dxa" w:w="2700"/>
            <w:shd w:fill="F2F4F7"/>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Decision owner</w:t>
            </w:r>
          </w:p>
        </w:tc>
        <w:tc>
          <w:tcPr>
            <w:tcW w:type="dxa" w:w="66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[Role / name]</w:t>
            </w:r>
          </w:p>
        </w:tc>
      </w:tr>
      <w:tr>
        <w:trPr>
          <w:cantSplit/>
        </w:trPr>
        <w:tc>
          <w:tcPr>
            <w:tcW w:type="dxa" w:w="2700"/>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Decision due</w:t>
            </w:r>
          </w:p>
        </w:tc>
        <w:tc>
          <w:tcPr>
            <w:tcW w:type="dxa" w:w="66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[YYYY-MM-DD]</w:t>
            </w:r>
          </w:p>
        </w:tc>
      </w:tr>
      <w:tr>
        <w:trPr>
          <w:cantSplit/>
        </w:trPr>
        <w:tc>
          <w:tcPr>
            <w:tcW w:type="dxa" w:w="2700"/>
            <w:shd w:fill="F2F4F7"/>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Immediate action</w:t>
            </w:r>
          </w:p>
        </w:tc>
        <w:tc>
          <w:tcPr>
            <w:tcW w:type="dxa" w:w="66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[Action, owner and due date]</w:t>
            </w:r>
          </w:p>
        </w:tc>
      </w:tr>
      <w:tr>
        <w:trPr>
          <w:cantSplit/>
        </w:trPr>
        <w:tc>
          <w:tcPr>
            <w:tcW w:type="dxa" w:w="2700"/>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Separate scope required</w:t>
            </w:r>
          </w:p>
        </w:tc>
        <w:tc>
          <w:tcPr>
            <w:tcW w:type="dxa" w:w="66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[Yes / no; describe]</w:t>
            </w:r>
          </w:p>
        </w:tc>
      </w:tr>
      <w:tr>
        <w:trPr>
          <w:cantSplit/>
        </w:trPr>
        <w:tc>
          <w:tcPr>
            <w:tcW w:type="dxa" w:w="2700"/>
            <w:shd w:fill="F2F4F7"/>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Residual limitation</w:t>
            </w:r>
          </w:p>
        </w:tc>
        <w:tc>
          <w:tcPr>
            <w:tcW w:type="dxa" w:w="66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[What remains unresolved]</w:t>
            </w:r>
          </w:p>
        </w:tc>
      </w:tr>
    </w:tbl>
    <w:p>
      <w:pPr>
        <w:spacing w:after="20"/>
      </w:pPr>
    </w:p>
    <w:p>
      <w:pPr>
        <w:pStyle w:val="Heading1"/>
      </w:pPr>
      <w:r>
        <w:t>Appendix A - Acceptance self-check</w:t>
      </w:r>
    </w:p>
    <w:tbl>
      <w:tblPr>
        <w:tblW w:type="dxa" w:w="9360"/>
        <w:jc w:val="left"/>
        <w:tblLayout w:type="fixed"/>
        <w:tblLook w:firstColumn="1" w:firstRow="1" w:lastColumn="0" w:lastRow="0" w:noHBand="0" w:noVBand="1" w:val="04A0"/>
        <w:tblInd w:type="dxa" w:w="120"/>
        <w:tblBorders>
          <w:top w:val="single" w:sz="3" w:space="0" w:color="F2F4F7"/>
          <w:left w:val="single" w:sz="3" w:space="0" w:color="F2F4F7"/>
          <w:bottom w:val="single" w:sz="3" w:space="0" w:color="F2F4F7"/>
          <w:right w:val="single" w:sz="3" w:space="0" w:color="F2F4F7"/>
          <w:insideH w:val="single" w:sz="3" w:space="0" w:color="F2F4F7"/>
          <w:insideV w:val="single" w:sz="3" w:space="0" w:color="F2F4F7"/>
        </w:tblBorders>
      </w:tblPr>
      <w:tblGrid>
        <w:gridCol w:w="600"/>
        <w:gridCol w:w="8760"/>
      </w:tblGrid>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Current-state map covers the agreed start/end, material roles, handovers, decisions and known pain points.</w:t>
            </w:r>
          </w:p>
        </w:tc>
      </w:tr>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Future-state map shows recommended ownership, controls and material changes at a practical level.</w:t>
            </w:r>
          </w:p>
        </w:tc>
      </w:tr>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Opportunity list is prioritised with rationale, dependencies and a high-level option for each material item.</w:t>
            </w:r>
          </w:p>
        </w:tc>
      </w:tr>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Report addresses the agreed workflow and distinguishes evidence, assumptions and recommendations.</w:t>
            </w:r>
          </w:p>
        </w:tc>
      </w:tr>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Findings presentation walkthrough is completed and material client questions are recorded.</w:t>
            </w:r>
          </w:p>
        </w:tc>
      </w:tr>
    </w:tbl>
    <w:p>
      <w:pPr>
        <w:spacing w:after="20"/>
      </w:pPr>
    </w:p>
    <w:p>
      <w:pPr>
        <w:pStyle w:val="Heading1"/>
      </w:pPr>
      <w:r>
        <w:t>Appendix B - Issue record</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000"/>
        <w:gridCol w:w="1350"/>
        <w:gridCol w:w="1100"/>
        <w:gridCol w:w="1600"/>
        <w:gridCol w:w="1600"/>
        <w:gridCol w:w="2710"/>
      </w:tblGrid>
      <w:tr>
        <w:trPr>
          <w:tblHeader w:val="true"/>
          <w:cantSplit/>
        </w:trPr>
        <w:tc>
          <w:tcPr>
            <w:tcW w:type="dxa" w:w="10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6"/>
              </w:rPr>
              <w:t>Version</w:t>
            </w:r>
          </w:p>
        </w:tc>
        <w:tc>
          <w:tcPr>
            <w:tcW w:type="dxa" w:w="135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6"/>
              </w:rPr>
              <w:t>Date</w:t>
            </w:r>
          </w:p>
        </w:tc>
        <w:tc>
          <w:tcPr>
            <w:tcW w:type="dxa" w:w="11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6"/>
              </w:rPr>
              <w:t>Status</w:t>
            </w:r>
          </w:p>
        </w:tc>
        <w:tc>
          <w:tcPr>
            <w:tcW w:type="dxa" w:w="16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6"/>
              </w:rPr>
              <w:t>Prepared by</w:t>
            </w:r>
          </w:p>
        </w:tc>
        <w:tc>
          <w:tcPr>
            <w:tcW w:type="dxa" w:w="16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6"/>
              </w:rPr>
              <w:t>Reviewed by</w:t>
            </w:r>
          </w:p>
        </w:tc>
        <w:tc>
          <w:tcPr>
            <w:tcW w:type="dxa" w:w="271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6"/>
              </w:rPr>
              <w:t>Change summary</w:t>
            </w:r>
          </w:p>
        </w:tc>
      </w:tr>
      <w:tr>
        <w:trPr>
          <w:cantSplit/>
        </w:trPr>
        <w:tc>
          <w:tcPr>
            <w:tcW w:type="dxa" w:w="10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v0.1</w:t>
            </w:r>
          </w:p>
        </w:tc>
        <w:tc>
          <w:tcPr>
            <w:tcW w:type="dxa" w:w="135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[YYYY-MM-DD]</w:t>
            </w:r>
          </w:p>
        </w:tc>
        <w:tc>
          <w:tcPr>
            <w:tcW w:type="dxa" w:w="11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Draft</w:t>
            </w:r>
          </w:p>
        </w:tc>
        <w:tc>
          <w:tcPr>
            <w:tcW w:type="dxa" w:w="16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 ]</w:t>
            </w:r>
          </w:p>
        </w:tc>
        <w:tc>
          <w:tcPr>
            <w:tcW w:type="dxa" w:w="16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 ]</w:t>
            </w:r>
          </w:p>
        </w:tc>
        <w:tc>
          <w:tcPr>
            <w:tcW w:type="dxa" w:w="271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Initial client draft</w:t>
            </w:r>
          </w:p>
        </w:tc>
      </w:tr>
      <w:tr>
        <w:trPr>
          <w:cantSplit/>
        </w:trPr>
        <w:tc>
          <w:tcPr>
            <w:tcW w:type="dxa" w:w="10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v0.2</w:t>
            </w:r>
          </w:p>
        </w:tc>
        <w:tc>
          <w:tcPr>
            <w:tcW w:type="dxa" w:w="135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[YYYY-MM-DD]</w:t>
            </w:r>
          </w:p>
        </w:tc>
        <w:tc>
          <w:tcPr>
            <w:tcW w:type="dxa" w:w="11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Correction</w:t>
            </w:r>
          </w:p>
        </w:tc>
        <w:tc>
          <w:tcPr>
            <w:tcW w:type="dxa" w:w="16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 ]</w:t>
            </w:r>
          </w:p>
        </w:tc>
        <w:tc>
          <w:tcPr>
            <w:tcW w:type="dxa" w:w="16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 ]</w:t>
            </w:r>
          </w:p>
        </w:tc>
        <w:tc>
          <w:tcPr>
            <w:tcW w:type="dxa" w:w="271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[Consolidated correction summary]</w:t>
            </w:r>
          </w:p>
        </w:tc>
      </w:tr>
      <w:tr>
        <w:trPr>
          <w:cantSplit/>
        </w:trPr>
        <w:tc>
          <w:tcPr>
            <w:tcW w:type="dxa" w:w="10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v1.0</w:t>
            </w:r>
          </w:p>
        </w:tc>
        <w:tc>
          <w:tcPr>
            <w:tcW w:type="dxa" w:w="135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[YYYY-MM-DD]</w:t>
            </w:r>
          </w:p>
        </w:tc>
        <w:tc>
          <w:tcPr>
            <w:tcW w:type="dxa" w:w="11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Final</w:t>
            </w:r>
          </w:p>
        </w:tc>
        <w:tc>
          <w:tcPr>
            <w:tcW w:type="dxa" w:w="16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 ]</w:t>
            </w:r>
          </w:p>
        </w:tc>
        <w:tc>
          <w:tcPr>
            <w:tcW w:type="dxa" w:w="16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 ]</w:t>
            </w:r>
          </w:p>
        </w:tc>
        <w:tc>
          <w:tcPr>
            <w:tcW w:type="dxa" w:w="271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Accepted issue</w:t>
            </w:r>
          </w:p>
        </w:tc>
      </w:tr>
    </w:tbl>
    <w:p>
      <w:pPr>
        <w:spacing w:after="20"/>
      </w:pPr>
    </w:p>
    <w:p>
      <w:pPr>
        <w:pStyle w:val="Heading2"/>
      </w:pPr>
      <w:r>
        <w:t>Source alignment</w:t>
      </w:r>
    </w:p>
    <w:p>
      <w:r>
        <w:rPr>
          <w:rFonts w:ascii="Calibri" w:hAnsi="Calibri"/>
          <w:i/>
          <w:color w:val="66717E"/>
        </w:rPr>
        <w:t>This artefact is aligned to the Heutrix Instructions, Voice and Notes dated 31 July 2026; the Heutrix Client Services Agreement v1.0; the Workflow Diagnostic Order Form v1.0; and the Project Control Forms v1.0. If a signed client document differs, the signed document controls.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color w:val="66717E"/>
        <w:sz w:val="17"/>
      </w:rPr>
      <w:t xml:space="preserve">Heutrix Pty Ltd  |  v1.0  |  </w:t>
    </w:r>
    <w:r>
      <w:rPr>
        <w:rFonts w:ascii="Calibri" w:hAnsi="Calibri"/>
        <w:color w:val="66717E"/>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b/>
        <w:color w:val="66717E"/>
        <w:sz w:val="17"/>
      </w:rPr>
      <w:t>HEUTRIX  |  Workflow Diagnostic Report</w:t>
    </w:r>
    <w:r>
      <w:rPr>
        <w:rFonts w:ascii="Calibri" w:hAnsi="Calibri"/>
        <w:b/>
        <w:color w:val="66717E"/>
        <w:sz w:val="17"/>
      </w:rPr>
      <w:tab/>
      <w:t>CLIENT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540"/>
        </w:tabs>
        <w:ind w:left="540" w:hanging="270"/>
      </w:pPr>
    </w:lvl>
  </w:abstractNum>
  <w:abstractNum w:abstractNumId="10">
    <w:multiLevelType w:val="singleLevel"/>
    <w:lvl w:ilvl="0">
      <w:start w:val="1"/>
      <w:numFmt w:val="decimal"/>
      <w:lvlText w:val="%1."/>
      <w:lvlJc w:val="left"/>
      <w:pPr>
        <w:tabs>
          <w:tab w:val="num" w:pos="540"/>
        </w:tabs>
        <w:ind w:left="540" w:hanging="27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Diagnostic Report</dc:title>
  <dc:subject>Heutrix fit call and Workflow Diagnostic operations pack</dc:subject>
  <dc:creator>Heutrix Pty Ltd</dc:creator>
  <cp:keywords/>
  <dc:description>Operational template aligned to the Workflow Diagnostic Order Form v1.0.</dc:description>
  <cp:lastModifiedBy>Heutrix Pty Ltd</cp:lastModifiedBy>
  <cp:revision>1</cp:revision>
  <dcterms:created xsi:type="dcterms:W3CDTF">2013-12-23T23:15:00Z</dcterms:created>
  <dcterms:modified xsi:type="dcterms:W3CDTF">2013-12-23T23:15:00Z</dcterms:modified>
  <cp:category/>
</cp:coreProperties>
</file>