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INTERNAL ISSUE CONTROL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56"/>
        </w:rPr>
        <w:t>Client Contract Pack</w:t>
      </w:r>
    </w:p>
    <w:p>
      <w:pPr>
        <w:spacing w:before="0" w:after="320"/>
      </w:pPr>
      <w:r>
        <w:rPr>
          <w:rFonts w:ascii="Calibri" w:hAnsi="Calibri"/>
          <w:color w:val="66717E"/>
          <w:sz w:val="26"/>
        </w:rPr>
        <w:t>Issue and legal-readiness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Owner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Heutrix Pty Ltd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1.0 | 1 August 2026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INTERNAL - complete stop-issue items before client signature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Jurisdiction basis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Australia; governing law drafted for Victoria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Important: </w:t>
            </w:r>
            <w:r>
              <w:rPr>
                <w:rFonts w:ascii="Calibri" w:hAnsi="Calibri"/>
                <w:color w:val="20262E"/>
                <w:sz w:val="20"/>
              </w:rPr>
              <w:t>This pack is a commercially usable first draft, not a substitute for advice from an Australian solicitor. A solicitor should confirm the entity details, liability settings, privacy status, insurance position and the final service model before first issue.</w:t>
            </w:r>
          </w:p>
        </w:tc>
      </w:tr>
    </w:tbl>
    <w:p>
      <w:pPr>
        <w:spacing w:after="20"/>
      </w:pPr>
    </w:p>
    <w:p>
      <w:pPr>
        <w:pStyle w:val="Heading1"/>
      </w:pPr>
      <w:r>
        <w:t>1. Current launch position</w:t>
      </w:r>
    </w:p>
    <w:p>
      <w:r>
        <w:rPr>
          <w:rFonts w:ascii="Calibri" w:hAnsi="Calibri"/>
          <w:i w:val="0"/>
        </w:rPr>
        <w:t>The pack is designed for Heutrix's confirmed workflow-improvement, practice-visibility, internal-system and safe-AI services for Australian allied health practices and disability support providers. The launch Workflow Diagnostic is set at AUD 950 plus GST, subject to verified GST registration.</w:t>
      </w:r>
    </w:p>
    <w:p>
      <w:r>
        <w:rPr>
          <w:rFonts w:ascii="Calibri" w:hAnsi="Calibri"/>
          <w:i w:val="0"/>
        </w:rPr>
        <w:t>The contracting party used throughout is Heutrix Pty Ltd. No ACN, ABN, registered office, monitored legal/privacy email or insurance schedule was present in the source material.</w:t>
      </w:r>
    </w:p>
    <w:p>
      <w:pPr>
        <w:pStyle w:val="Heading1"/>
      </w:pPr>
      <w:r>
        <w:t>2. Stop-issue items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CE8E6"/>
          <w:left w:val="single" w:sz="2" w:space="0" w:color="FCE8E6"/>
          <w:bottom w:val="single" w:sz="2" w:space="0" w:color="FCE8E6"/>
          <w:right w:val="single" w:sz="2" w:space="0" w:color="FCE8E6"/>
          <w:insideH w:val="single" w:sz="2" w:space="0" w:color="FCE8E6"/>
          <w:insideV w:val="single" w:sz="2" w:space="0" w:color="FCE8E6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CE8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9B1C1C"/>
                <w:sz w:val="20"/>
              </w:rPr>
              <w:t xml:space="preserve">Do not sign yet: </w:t>
            </w:r>
            <w:r>
              <w:rPr>
                <w:rFonts w:ascii="Calibri" w:hAnsi="Calibri"/>
                <w:color w:val="20262E"/>
                <w:sz w:val="20"/>
              </w:rPr>
              <w:t>Complete every item below in the Word masters before converting the client-specific issue copy to PDF.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00"/>
        <w:gridCol w:w="5660"/>
        <w:gridCol w:w="1800"/>
      </w:tblGrid>
      <w:tr>
        <w:trPr>
          <w:tblHeader w:val="true"/>
          <w:cantSplit/>
        </w:trPr>
        <w:tc>
          <w:tcPr>
            <w:tcW w:type="dxa" w:w="19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6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Required action</w:t>
            </w:r>
          </w:p>
        </w:tc>
        <w:tc>
          <w:tcPr>
            <w:tcW w:type="dxa" w:w="18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Owner / complete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Entity identity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Verify the exact ASIC-registered company name and ACN. Place the ACN (or qualifying ABN) on page 1 of every public document.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ABN and GST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 an active ABN and GST registration. Do not label invoices 'Tax invoice' or add GST unless registered.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Addresses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Insert the registered/service address and the operational contact address for notices.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Contact channels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Insert a monitored contracts email and privacy contact path; confirm the live website domain.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Insurance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 professional indemnity, public liability and cyber cover, limits, exclusions and retroactive dates. Insert only verified cover in each SOW.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Approved systems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Approve the exact Google Workspace or Microsoft 365/SharePoint tenant, applications, administrators, hosting regions and subprocessors.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Banking and invoices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 the Heutrix bank account, invoicing platform, payment terms and fraud-resistant bank-detail change process.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8"/>
              </w:rPr>
              <w:t>Signing authority</w:t>
            </w:r>
          </w:p>
        </w:tc>
        <w:tc>
          <w:tcPr>
            <w:tcW w:type="dxa" w:w="5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Confirm who may sign for Heutrix and keep the supporting director/board authority with the contract record.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3. Contract map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Before a fit call. </w:t>
      </w:r>
      <w:r>
        <w:rPr>
          <w:rFonts w:ascii="Calibri" w:hAnsi="Calibri"/>
        </w:rPr>
        <w:t>Privacy collection notice. Use the mutual NDA only if non-public detail must be exchanged before engagement.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Every paid client. </w:t>
      </w:r>
      <w:r>
        <w:rPr>
          <w:rFonts w:ascii="Calibri" w:hAnsi="Calibri"/>
        </w:rPr>
        <w:t>Signed Client Services Agreement plus a signed Order Form or Statement of Work.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Workflow Diagnostic. </w:t>
      </w:r>
      <w:r>
        <w:rPr>
          <w:rFonts w:ascii="Calibri" w:hAnsi="Calibri"/>
        </w:rPr>
        <w:t>Use the Workflow Diagnostic Order Form with the Client Services Agreement. Default data setting is de-identified/sample information only.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Build or system access. </w:t>
      </w:r>
      <w:r>
        <w:rPr>
          <w:rFonts w:ascii="Calibri" w:hAnsi="Calibri"/>
        </w:rPr>
        <w:t>Add a General SOW and an approved Data and System Access Authorisation before access is granted.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Any AI use. </w:t>
      </w:r>
      <w:r>
        <w:rPr>
          <w:rFonts w:ascii="Calibri" w:hAnsi="Calibri"/>
        </w:rPr>
        <w:t>Complete the AI Use Case Approval. No AI use is approved by silence or by a generic project description.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Scope change. </w:t>
      </w:r>
      <w:r>
        <w:rPr>
          <w:rFonts w:ascii="Calibri" w:hAnsi="Calibri"/>
        </w:rPr>
        <w:t>Use the Change Request before extra work, fees, tools, data or dates are introduced.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Project close. </w:t>
      </w:r>
      <w:r>
        <w:rPr>
          <w:rFonts w:ascii="Calibri" w:hAnsi="Calibri"/>
        </w:rPr>
        <w:t>Use Deliverable Review and Acceptance plus Handover and Access Closure.</w:t>
      </w:r>
    </w:p>
    <w:p>
      <w:pPr>
        <w:ind w:left="259" w:hanging="259"/>
      </w:pPr>
      <w:r>
        <w:rPr>
          <w:rFonts w:ascii="Calibri" w:hAnsi="Calibri"/>
          <w:b/>
          <w:color w:val="17324D"/>
        </w:rPr>
        <w:t xml:space="preserve">Website. </w:t>
      </w:r>
      <w:r>
        <w:rPr>
          <w:rFonts w:ascii="Calibri" w:hAnsi="Calibri"/>
        </w:rPr>
        <w:t>Publish the Privacy Policy, Collection Notice and Website Terms after reconciling them to the live forms, cookies, analytics and vendors.</w:t>
      </w:r>
    </w:p>
    <w:p>
      <w:pPr>
        <w:pStyle w:val="Heading1"/>
      </w:pPr>
      <w:r>
        <w:t>4. Recommended Workflow Diagnostic defaults to ratify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One remote discovery workshop of up to 90 minutes.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Review of up to five relevant documents or 50 pages in total.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One current-state map, one future-state map, a prioritised opportunity list, a findings presentation of up to 60 minutes and a concise written report.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Completion target of 10 business days after payment and receipt of agreed inputs.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Fee paid in advance; unused amounts refunded if Heutrix terminates before performing the relevant services.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No patient, participant, worker or other sensitive information; use synthetic, de-identified or redacted material only.</w:t>
      </w:r>
    </w:p>
    <w:p>
      <w:pPr>
        <w:pStyle w:val="Heading1"/>
      </w:pPr>
      <w:r>
        <w:t>5. Client issue sequence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Check the client legal name, ABN/ACN, authorised signatory and notice email.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Select and complete the SOW, including scope boundaries, acceptance criteria, dates, fees, IP option, insurance and data/AI settings.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Complete the data classification and confirm the approved tenant, storage location, administrators and access end date.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Send the CSA and SOW together. Do not rely on a website link that can change after signature.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Obtain signatures before starting paid work or accessing a client system.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Save the signed documents, approved change requests and access records in the approved Heutrix contract repository.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Invoice using verified entity, ABN and GST particulars.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</w:rPr>
        <w:t>At close, document acceptance, handover, access removal and data return/deletion.</w:t>
      </w:r>
    </w:p>
    <w:p>
      <w:pPr>
        <w:pStyle w:val="Heading1"/>
      </w:pPr>
      <w:r>
        <w:t>6. Key legal design decisions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The terms preserve non-excludable Australian Consumer Law rights and use objective acceptance and cure processes.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Termination, suspension and variation rights are reciprocal or tied to defined risks to reduce unfair-contract-term exposure.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The general liability cap and a higher confidentiality/privacy/IP cap are transparent but must be aligned with insurance and risk appetite by a solicitor.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Victorian health-information protections are treated as relevant whenever Heutrix handles identifiable health information in Victoria, regardless of business size.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AI use is not approved by default. Each tool, use case, data category and human reviewer must be recorded.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The privacy policy does not assume that the federal small-business exemption applies; it states that applicable federal and state privacy laws will be followed.</w:t>
      </w:r>
    </w:p>
    <w:p>
      <w:pPr>
        <w:pStyle w:val="Heading1"/>
      </w:pPr>
      <w:r>
        <w:t>7. Primary legal and regulatory sources checked</w:t>
      </w:r>
    </w:p>
    <w:p>
      <w:r>
        <w:rPr>
          <w:rFonts w:ascii="Calibri" w:hAnsi="Calibri"/>
          <w:i w:val="0"/>
        </w:rPr>
        <w:t>Source check date: 1 August 2026. These links are included for solicitor verification and ongoing maintenance.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ASIC - Australian Company Numbers: </w:t>
      </w:r>
      <w:r>
        <w:rPr>
          <w:rFonts w:ascii="Calibri" w:hAnsi="Calibri"/>
          <w:color w:val="1F4D78"/>
          <w:sz w:val="19"/>
        </w:rPr>
        <w:t>https://asic.gov.au/for-business/registering-a-company/steps-to-register-a-company/australian-company-numbers/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Australian Business Register - ABN Lookup: </w:t>
      </w:r>
      <w:r>
        <w:rPr>
          <w:rFonts w:ascii="Calibri" w:hAnsi="Calibri"/>
          <w:color w:val="1F4D78"/>
          <w:sz w:val="19"/>
        </w:rPr>
        <w:t>https://abr.business.gov.au/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ACCC - Contracts and unfair terms: </w:t>
      </w:r>
      <w:r>
        <w:rPr>
          <w:rFonts w:ascii="Calibri" w:hAnsi="Calibri"/>
          <w:color w:val="1F4D78"/>
          <w:sz w:val="19"/>
        </w:rPr>
        <w:t>https://www.accc.gov.au/business/selling-products-and-services/contracts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ACCC - Consumer rights and guarantees: </w:t>
      </w:r>
      <w:r>
        <w:rPr>
          <w:rFonts w:ascii="Calibri" w:hAnsi="Calibri"/>
          <w:color w:val="1F4D78"/>
          <w:sz w:val="19"/>
        </w:rPr>
        <w:t>https://www.accc.gov.au/business/selling-products-and-services/consumer-rights-and-guarantees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OAIC - Small business and the Privacy Act: </w:t>
      </w:r>
      <w:r>
        <w:rPr>
          <w:rFonts w:ascii="Calibri" w:hAnsi="Calibri"/>
          <w:color w:val="1F4D78"/>
          <w:sz w:val="19"/>
        </w:rPr>
        <w:t>https://www.oaic.gov.au/privacy/privacy-guidance-for-organisations-and-government-agencies/organisations/small-business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OAIC - APP 1 privacy policy guidance: </w:t>
      </w:r>
      <w:r>
        <w:rPr>
          <w:rFonts w:ascii="Calibri" w:hAnsi="Calibri"/>
          <w:color w:val="1F4D78"/>
          <w:sz w:val="19"/>
        </w:rPr>
        <w:t>https://www.oaic.gov.au/privacy/australian-privacy-principles/australian-privacy-principles-guidelines/chapter-1-app-1-open-and-transparent-management-of-personal-information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OAIC - Notifiable Data Breaches: </w:t>
      </w:r>
      <w:r>
        <w:rPr>
          <w:rFonts w:ascii="Calibri" w:hAnsi="Calibri"/>
          <w:color w:val="1F4D78"/>
          <w:sz w:val="19"/>
        </w:rPr>
        <w:t>https://www.oaic.gov.au/privacy/notifiable-data-breaches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Victorian Department of Health - Health Records Act: </w:t>
      </w:r>
      <w:r>
        <w:rPr>
          <w:rFonts w:ascii="Calibri" w:hAnsi="Calibri"/>
          <w:color w:val="1F4D78"/>
          <w:sz w:val="19"/>
        </w:rPr>
        <w:t>https://www.health.vic.gov.au/legislation/health-records-act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ACMA - Spam compliance: </w:t>
      </w:r>
      <w:r>
        <w:rPr>
          <w:rFonts w:ascii="Calibri" w:hAnsi="Calibri"/>
          <w:color w:val="1F4D78"/>
          <w:sz w:val="19"/>
        </w:rPr>
        <w:t>https://www.acma.gov.au/avoid-sending-spam</w:t>
      </w:r>
    </w:p>
    <w:p>
      <w:pPr>
        <w:spacing w:after="80"/>
      </w:pPr>
      <w:r>
        <w:rPr>
          <w:rFonts w:ascii="Calibri" w:hAnsi="Calibri"/>
          <w:b/>
          <w:color w:val="17324D"/>
          <w:sz w:val="19"/>
        </w:rPr>
        <w:t xml:space="preserve">ATO - Business registration obligations: </w:t>
      </w:r>
      <w:r>
        <w:rPr>
          <w:rFonts w:ascii="Calibri" w:hAnsi="Calibri"/>
          <w:color w:val="1F4D78"/>
          <w:sz w:val="19"/>
        </w:rPr>
        <w:t>https://www.ato.gov.au/businesses-and-organisations/starting-registering-or-closing-a-business/registration-obligations-for-businesses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17E"/>
        <w:sz w:val="17"/>
      </w:rPr>
      <w:t xml:space="preserve">Heutrix Pty Ltd  |  v1.0  |  </w:t>
    </w:r>
    <w:r>
      <w:rPr>
        <w:rFonts w:ascii="Calibri" w:hAnsi="Calibri"/>
        <w:color w:val="66717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17E"/>
        <w:sz w:val="17"/>
      </w:rPr>
      <w:t>HEUTRIX  |  Legal Readiness Guide</w:t>
    </w:r>
    <w:r>
      <w:rPr>
        <w:rFonts w:ascii="Calibri" w:hAnsi="Calibri"/>
        <w:b/>
        <w:color w:val="66717E"/>
        <w:sz w:val="17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Readiness Guide</dc:title>
  <dc:subject>Heutrix client legal pack</dc:subject>
  <dc:creator/>
  <cp:keywords/>
  <dc:description>Prepared for solicitor review and client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