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2E74B5"/>
          <w:sz w:val="18"/>
        </w:rPr>
        <w:t>ORDER FORM</w:t>
      </w:r>
    </w:p>
    <w:p>
      <w:pPr>
        <w:spacing w:before="0" w:after="120"/>
      </w:pPr>
      <w:r>
        <w:rPr>
          <w:rFonts w:ascii="Calibri" w:hAnsi="Calibri"/>
          <w:b/>
          <w:color w:val="17324D"/>
          <w:sz w:val="56"/>
        </w:rPr>
        <w:t>Workflow Diagnostic</w:t>
      </w:r>
    </w:p>
    <w:p>
      <w:pPr>
        <w:spacing w:before="0" w:after="320"/>
      </w:pPr>
      <w:r>
        <w:rPr>
          <w:rFonts w:ascii="Calibri" w:hAnsi="Calibri"/>
          <w:color w:val="66717E"/>
          <w:sz w:val="26"/>
        </w:rPr>
        <w:t>One workflow. A clear current-state view. A practical next step.</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ACN / ABN: 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name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ABN / ACN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in scope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AUD 950 plus GST, if GST is lawfully payable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Order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CSA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v1.0, dated 1 August 2026</w:t>
            </w:r>
          </w:p>
        </w:tc>
      </w:tr>
    </w:tbl>
    <w:p>
      <w:pPr>
        <w:spacing w:after="20"/>
      </w:pPr>
    </w:p>
    <w:tbl>
      <w:tblPr>
        <w:tblW w:type="dxa" w:w="9360"/>
        <w:jc w:val="left"/>
        <w:tblLayout w:type="fixed"/>
        <w:tblLook w:firstColumn="1" w:firstRow="1" w:lastColumn="0" w:lastRow="0" w:noHBand="0" w:noVBand="1" w:val="04A0"/>
        <w:tblInd w:type="dxa" w:w="12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shd w:fill="F2F4F7"/>
            <w:vAlign w:val="center"/>
            <w:tcMar>
              <w:top w:w="100" w:type="dxa"/>
              <w:start w:w="120" w:type="dxa"/>
              <w:bottom w:w="100" w:type="dxa"/>
              <w:end w:w="120" w:type="dxa"/>
            </w:tcMar>
          </w:tcPr>
          <w:p>
            <w:pPr>
              <w:spacing w:before="0" w:after="0"/>
            </w:pPr>
            <w:r>
              <w:rPr>
                <w:rFonts w:ascii="Calibri" w:hAnsi="Calibri"/>
                <w:b/>
                <w:color w:val="17324D"/>
                <w:sz w:val="20"/>
              </w:rPr>
              <w:t xml:space="preserve">Contract: </w:t>
            </w:r>
            <w:r>
              <w:rPr>
                <w:rFonts w:ascii="Calibri" w:hAnsi="Calibri"/>
                <w:color w:val="20262E"/>
                <w:sz w:val="20"/>
              </w:rPr>
              <w:t>This signed Order Form and the identified Client Services Agreement form the contract. The Client confirms it received the complete CSA before signing.</w:t>
            </w:r>
          </w:p>
        </w:tc>
      </w:tr>
    </w:tbl>
    <w:p>
      <w:pPr>
        <w:spacing w:after="20"/>
      </w:pPr>
    </w:p>
    <w:p>
      <w:pPr>
        <w:pStyle w:val="Heading1"/>
      </w:pPr>
      <w:r>
        <w:t>1. Outcome</w:t>
      </w:r>
    </w:p>
    <w:p>
      <w:r>
        <w:rPr>
          <w:rFonts w:ascii="Calibri" w:hAnsi="Calibri"/>
          <w:i w:val="0"/>
        </w:rPr>
        <w:t>Heutrix will review one defined operational workflow, map how it operates now, identify material friction and visibility gaps, and recommend the simplest practical improvement options. The Diagnostic is intended to support an informed next-step decision; it is not an implementation project or assurance review.</w:t>
      </w:r>
    </w:p>
    <w:p>
      <w:pPr>
        <w:pStyle w:val="Heading1"/>
      </w:pPr>
      <w:r>
        <w:t>2. Included Services</w:t>
      </w:r>
    </w:p>
    <w:p>
      <w:pPr>
        <w:spacing w:before="0" w:after="160" w:line="280" w:lineRule="auto"/>
        <w:numPr>
          <w:ilvl w:val="0"/>
          <w:numId w:val="10"/>
        </w:numPr>
      </w:pPr>
      <w:r>
        <w:rPr>
          <w:rFonts w:ascii="Calibri" w:hAnsi="Calibri"/>
        </w:rPr>
        <w:t>A short kickoff and data-handling check with the Client project owner.</w:t>
      </w:r>
    </w:p>
    <w:p>
      <w:pPr>
        <w:spacing w:before="0" w:after="160" w:line="280" w:lineRule="auto"/>
        <w:numPr>
          <w:ilvl w:val="0"/>
          <w:numId w:val="10"/>
        </w:numPr>
      </w:pPr>
      <w:r>
        <w:rPr>
          <w:rFonts w:ascii="Calibri" w:hAnsi="Calibri"/>
        </w:rPr>
        <w:t>One remote structured discovery workshop of up to 90 minutes with up to four Client participants.</w:t>
      </w:r>
    </w:p>
    <w:p>
      <w:pPr>
        <w:spacing w:before="0" w:after="160" w:line="280" w:lineRule="auto"/>
        <w:numPr>
          <w:ilvl w:val="0"/>
          <w:numId w:val="10"/>
        </w:numPr>
      </w:pPr>
      <w:r>
        <w:rPr>
          <w:rFonts w:ascii="Calibri" w:hAnsi="Calibri"/>
        </w:rPr>
        <w:t>Review of up to five relevant documents or 50 pages in total, using redacted, de-identified or synthetic material unless separately approved.</w:t>
      </w:r>
    </w:p>
    <w:p>
      <w:pPr>
        <w:spacing w:before="0" w:after="160" w:line="280" w:lineRule="auto"/>
        <w:numPr>
          <w:ilvl w:val="0"/>
          <w:numId w:val="10"/>
        </w:numPr>
      </w:pPr>
      <w:r>
        <w:rPr>
          <w:rFonts w:ascii="Calibri" w:hAnsi="Calibri"/>
        </w:rPr>
        <w:t>A current-state workflow map showing key steps, roles, information, decisions, handovers and material failure points.</w:t>
      </w:r>
    </w:p>
    <w:p>
      <w:pPr>
        <w:spacing w:before="0" w:after="160" w:line="280" w:lineRule="auto"/>
        <w:numPr>
          <w:ilvl w:val="0"/>
          <w:numId w:val="10"/>
        </w:numPr>
      </w:pPr>
      <w:r>
        <w:rPr>
          <w:rFonts w:ascii="Calibri" w:hAnsi="Calibri"/>
        </w:rPr>
        <w:t>A practical future-state workflow map at an appropriate level of detail.</w:t>
      </w:r>
    </w:p>
    <w:p>
      <w:pPr>
        <w:spacing w:before="0" w:after="160" w:line="280" w:lineRule="auto"/>
        <w:numPr>
          <w:ilvl w:val="0"/>
          <w:numId w:val="10"/>
        </w:numPr>
      </w:pPr>
      <w:r>
        <w:rPr>
          <w:rFonts w:ascii="Calibri" w:hAnsi="Calibri"/>
        </w:rPr>
        <w:t>A prioritised list of improvement opportunities and high-level implementation options, which may include process changes, tracking, visibility, automation, controlled AI or no technology change.</w:t>
      </w:r>
    </w:p>
    <w:p>
      <w:pPr>
        <w:spacing w:before="0" w:after="160" w:line="280" w:lineRule="auto"/>
        <w:numPr>
          <w:ilvl w:val="0"/>
          <w:numId w:val="10"/>
        </w:numPr>
      </w:pPr>
      <w:r>
        <w:rPr>
          <w:rFonts w:ascii="Calibri" w:hAnsi="Calibri"/>
        </w:rPr>
        <w:t>One remote findings presentation of up to 60 minutes.</w:t>
      </w:r>
    </w:p>
    <w:p>
      <w:pPr>
        <w:spacing w:before="0" w:after="160" w:line="280" w:lineRule="auto"/>
        <w:numPr>
          <w:ilvl w:val="0"/>
          <w:numId w:val="10"/>
        </w:numPr>
      </w:pPr>
      <w:r>
        <w:rPr>
          <w:rFonts w:ascii="Calibri" w:hAnsi="Calibri"/>
        </w:rPr>
        <w:t>A concise written findings report summarising scope, evidence, assumptions, observations, recommendations, dependencies and next steps.</w:t>
      </w:r>
    </w:p>
    <w:p>
      <w:pPr>
        <w:pStyle w:val="Heading1"/>
      </w:pPr>
      <w:r>
        <w:t>3. Exclusions</w:t>
      </w:r>
    </w:p>
    <w:p>
      <w:pPr>
        <w:spacing w:before="0" w:after="160" w:line="280" w:lineRule="auto"/>
        <w:numPr>
          <w:ilvl w:val="0"/>
          <w:numId w:val="10"/>
        </w:numPr>
      </w:pPr>
      <w:r>
        <w:rPr>
          <w:rFonts w:ascii="Calibri" w:hAnsi="Calibri"/>
        </w:rPr>
        <w:t>System configuration, software development, automation build, dashboard build, data migration, integration, production deployment or ongoing support.</w:t>
      </w:r>
    </w:p>
    <w:p>
      <w:pPr>
        <w:spacing w:before="0" w:after="160" w:line="280" w:lineRule="auto"/>
        <w:numPr>
          <w:ilvl w:val="0"/>
          <w:numId w:val="10"/>
        </w:numPr>
      </w:pPr>
      <w:r>
        <w:rPr>
          <w:rFonts w:ascii="Calibri" w:hAnsi="Calibri"/>
        </w:rPr>
        <w:t>Clinical, medical, legal, tax, employment, regulatory, official audit, NDIS registration, compliance assurance, mock audit or certification advice.</w:t>
      </w:r>
    </w:p>
    <w:p>
      <w:pPr>
        <w:spacing w:before="0" w:after="160" w:line="280" w:lineRule="auto"/>
        <w:numPr>
          <w:ilvl w:val="0"/>
          <w:numId w:val="10"/>
        </w:numPr>
      </w:pPr>
      <w:r>
        <w:rPr>
          <w:rFonts w:ascii="Calibri" w:hAnsi="Calibri"/>
        </w:rPr>
        <w:t>Detailed security testing, penetration testing, privacy impact assessment, clinical safety assessment or formal accessibility audit.</w:t>
      </w:r>
    </w:p>
    <w:p>
      <w:pPr>
        <w:spacing w:before="0" w:after="160" w:line="280" w:lineRule="auto"/>
        <w:numPr>
          <w:ilvl w:val="0"/>
          <w:numId w:val="10"/>
        </w:numPr>
      </w:pPr>
      <w:r>
        <w:rPr>
          <w:rFonts w:ascii="Calibri" w:hAnsi="Calibri"/>
        </w:rPr>
        <w:t>Travel, on-site workshops, translation, transcription, extensive document review or consultation outside the stated limits.</w:t>
      </w:r>
    </w:p>
    <w:p>
      <w:pPr>
        <w:spacing w:before="0" w:after="160" w:line="280" w:lineRule="auto"/>
        <w:numPr>
          <w:ilvl w:val="0"/>
          <w:numId w:val="10"/>
        </w:numPr>
      </w:pPr>
      <w:r>
        <w:rPr>
          <w:rFonts w:ascii="Calibri" w:hAnsi="Calibri"/>
        </w:rPr>
        <w:t>Use of identifiable patient, participant, worker or staff information, unless added through a signed change and data authorisation.</w:t>
      </w:r>
    </w:p>
    <w:p>
      <w:pPr>
        <w:pStyle w:val="Heading1"/>
      </w:pPr>
      <w:r>
        <w:t>4. Deliverables and acceptance</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00"/>
        <w:gridCol w:w="5160"/>
        <w:gridCol w:w="2100"/>
      </w:tblGrid>
      <w:tr>
        <w:trPr>
          <w:tblHeader w:val="true"/>
          <w:cantSplit/>
        </w:trPr>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Deliverable</w:t>
            </w:r>
          </w:p>
        </w:tc>
        <w:tc>
          <w:tcPr>
            <w:tcW w:type="dxa" w:w="51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Acceptance criteria</w:t>
            </w:r>
          </w:p>
        </w:tc>
        <w:tc>
          <w:tcPr>
            <w:tcW w:type="dxa" w:w="21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Target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Current-state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Covers agreed start/end, material roles, handovers, decisions and known pain points.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Future-state map</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Shows recommended ownership, controls and material changes at a practical level.</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Opportunity list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Prioritised with rationale, dependencies and a high-level option for each material item.</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Draft with report</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Findings report</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Addresses the agreed workflow and distinguishes evidence, assumptions and recommendations.</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Within 10 business days of inputs</w:t>
            </w:r>
          </w:p>
        </w:tc>
      </w:tr>
      <w:tr>
        <w:trPr>
          <w:cantSplit/>
        </w:trPr>
        <w:tc>
          <w:tcPr>
            <w:tcW w:type="dxa" w:w="2100"/>
            <w:vAlign w:val="center"/>
            <w:tcMar>
              <w:top w:w="100" w:type="dxa"/>
              <w:start w:w="120" w:type="dxa"/>
              <w:bottom w:w="100" w:type="dxa"/>
              <w:end w:w="120" w:type="dxa"/>
            </w:tcMar>
          </w:tcPr>
          <w:p>
            <w:pPr>
              <w:spacing w:before="0" w:after="0" w:line="252" w:lineRule="auto"/>
              <w:jc w:val="left"/>
            </w:pPr>
            <w:r>
              <w:rPr>
                <w:rFonts w:ascii="Calibri" w:hAnsi="Calibri"/>
                <w:b/>
                <w:color w:val="17324D"/>
                <w:sz w:val="17"/>
              </w:rPr>
              <w:t>Presentation</w:t>
            </w:r>
          </w:p>
        </w:tc>
        <w:tc>
          <w:tcPr>
            <w:tcW w:type="dxa" w:w="51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7"/>
              </w:rPr>
              <w:t>Walkthrough completed and material Client questions recorded.</w:t>
            </w:r>
          </w:p>
        </w:tc>
        <w:tc>
          <w:tcPr>
            <w:tcW w:type="dxa" w:w="2100"/>
            <w:vAlign w:val="center"/>
            <w:tcMar>
              <w:top w:w="100" w:type="dxa"/>
              <w:start w:w="120" w:type="dxa"/>
              <w:bottom w:w="100" w:type="dxa"/>
              <w:end w:w="120" w:type="dxa"/>
            </w:tcMar>
          </w:tcPr>
          <w:p>
            <w:pPr>
              <w:spacing w:before="0" w:after="0" w:line="252" w:lineRule="auto"/>
              <w:jc w:val="center"/>
            </w:pPr>
            <w:r>
              <w:rPr>
                <w:rFonts w:ascii="Calibri" w:hAnsi="Calibri"/>
                <w:b w:val="0"/>
                <w:color w:val="20262E"/>
                <w:sz w:val="17"/>
              </w:rPr>
              <w:t>Within 5 business days of draft</w:t>
            </w:r>
          </w:p>
        </w:tc>
      </w:tr>
    </w:tbl>
    <w:p>
      <w:r>
        <w:rPr>
          <w:rFonts w:ascii="Calibri" w:hAnsi="Calibri"/>
          <w:i w:val="0"/>
        </w:rPr>
        <w:t>The Client has five business days to accept the draft or give specific reasons it does not meet these criteria. One consolidated reasonable correction round is included. New scope or preference changes require a Change Request.</w:t>
      </w:r>
    </w:p>
    <w:p>
      <w:pPr>
        <w:pStyle w:val="Heading1"/>
      </w:pPr>
      <w:r>
        <w:t>5. Client inputs and assumptions</w:t>
      </w:r>
    </w:p>
    <w:p>
      <w:pPr>
        <w:spacing w:before="0" w:after="160" w:line="280" w:lineRule="auto"/>
        <w:numPr>
          <w:ilvl w:val="0"/>
          <w:numId w:val="10"/>
        </w:numPr>
      </w:pPr>
      <w:r>
        <w:rPr>
          <w:rFonts w:ascii="Calibri" w:hAnsi="Calibri"/>
        </w:rPr>
        <w:t>The Client appoints one project owner who consolidates feedback and has authority to confirm operational facts.</w:t>
      </w:r>
    </w:p>
    <w:p>
      <w:pPr>
        <w:spacing w:before="0" w:after="160" w:line="280" w:lineRule="auto"/>
        <w:numPr>
          <w:ilvl w:val="0"/>
          <w:numId w:val="10"/>
        </w:numPr>
      </w:pPr>
      <w:r>
        <w:rPr>
          <w:rFonts w:ascii="Calibri" w:hAnsi="Calibri"/>
        </w:rPr>
        <w:t>The workflow is sufficiently narrow to cover in one workshop and starts and ends at the points recorded below.</w:t>
      </w:r>
    </w:p>
    <w:p>
      <w:pPr>
        <w:spacing w:before="0" w:after="160" w:line="280" w:lineRule="auto"/>
        <w:numPr>
          <w:ilvl w:val="0"/>
          <w:numId w:val="10"/>
        </w:numPr>
      </w:pPr>
      <w:r>
        <w:rPr>
          <w:rFonts w:ascii="Calibri" w:hAnsi="Calibri"/>
        </w:rPr>
        <w:t>The Client provides agreed documents and participant availability within five business days after payment.</w:t>
      </w:r>
    </w:p>
    <w:p>
      <w:pPr>
        <w:spacing w:before="0" w:after="160" w:line="280" w:lineRule="auto"/>
        <w:numPr>
          <w:ilvl w:val="0"/>
          <w:numId w:val="10"/>
        </w:numPr>
      </w:pPr>
      <w:r>
        <w:rPr>
          <w:rFonts w:ascii="Calibri" w:hAnsi="Calibri"/>
        </w:rPr>
        <w:t>Work is remote and conducted during Melbourne business hours unless agreed otherwise.</w:t>
      </w:r>
    </w:p>
    <w:p>
      <w:pPr>
        <w:spacing w:before="0" w:after="160" w:line="280" w:lineRule="auto"/>
        <w:numPr>
          <w:ilvl w:val="0"/>
          <w:numId w:val="10"/>
        </w:numPr>
      </w:pPr>
      <w:r>
        <w:rPr>
          <w:rFonts w:ascii="Calibri" w:hAnsi="Calibri"/>
        </w:rPr>
        <w:t>The Diagnostic relies on information supplied by the Client and is not an independent audit or verification of compliance.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Workflow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project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Workshop attendees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Documents to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pPr>
        <w:pStyle w:val="Heading1"/>
      </w:pPr>
      <w:r>
        <w:t>6. Timing</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Payment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Before commencement, following a valid invoice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workshop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Inputs due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draft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10 business days after payment and receipt of agreed inputs</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presentation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________________________________________________________</w:t>
            </w:r>
          </w:p>
        </w:tc>
      </w:tr>
    </w:tbl>
    <w:p>
      <w:pPr>
        <w:spacing w:after="20"/>
      </w:pPr>
    </w:p>
    <w:p>
      <w:r>
        <w:rPr>
          <w:rFonts w:ascii="Calibri" w:hAnsi="Calibri"/>
          <w:i w:val="0"/>
        </w:rPr>
        <w:t>Dates move reasonably if Client dependencies are late. Heutrix will notify the Client of the revised target and minimise avoidable delay.</w:t>
      </w:r>
    </w:p>
    <w:p>
      <w:pPr>
        <w:pStyle w:val="Heading1"/>
      </w:pPr>
      <w:r>
        <w:t>7. Fees and payment</w:t>
      </w:r>
    </w:p>
    <w:p>
      <w:r>
        <w:rPr>
          <w:rFonts w:ascii="Calibri" w:hAnsi="Calibri"/>
          <w:i w:val="0"/>
        </w:rPr>
        <w:t>Fixed fee: AUD 950 plus GST if Heutrix is registered or required to be registered for GST. The fee is invoiced in advance and due within seven calendar days. Work begins after cleared payment and receipt of required inputs.</w:t>
      </w:r>
    </w:p>
    <w:p>
      <w:r>
        <w:rPr>
          <w:rFonts w:ascii="Calibri" w:hAnsi="Calibri"/>
          <w:i w:val="0"/>
        </w:rPr>
        <w:t>The fixed fee covers only the Included Services and one correction round. Extra work proceeds only under a signed Change Request. Approved travel or third-party costs are not included and cannot be incurred without written Client approval.</w:t>
      </w:r>
    </w:p>
    <w:p>
      <w:pPr>
        <w:pStyle w:val="Heading1"/>
      </w:pPr>
      <w:r>
        <w:t>8. Data, system and AI settings</w:t>
      </w:r>
    </w:p>
    <w:tbl>
      <w:tblPr>
        <w:tblW w:type="dxa" w:w="9360"/>
        <w:jc w:val="left"/>
        <w:tblLayout w:type="fixed"/>
        <w:tblLook w:firstColumn="1" w:firstRow="1" w:lastColumn="0" w:lastRow="0" w:noHBand="0" w:noVBand="1" w:val="04A0"/>
        <w:tblInd w:type="dxa" w:w="120"/>
        <w:tblBorders>
          <w:top w:val="single" w:sz="2" w:space="0" w:color="F2F4F7"/>
          <w:left w:val="single" w:sz="2" w:space="0" w:color="F2F4F7"/>
          <w:bottom w:val="single" w:sz="2" w:space="0" w:color="F2F4F7"/>
          <w:right w:val="single" w:sz="2" w:space="0" w:color="F2F4F7"/>
          <w:insideH w:val="single" w:sz="2" w:space="0" w:color="F2F4F7"/>
          <w:insideV w:val="single" w:sz="2" w:space="0" w:color="F2F4F7"/>
        </w:tblBorders>
      </w:tblPr>
      <w:tblGrid>
        <w:gridCol w:w="9360"/>
      </w:tblGrid>
      <w:tr>
        <w:trPr>
          <w:cantSplit/>
        </w:trPr>
        <w:tc>
          <w:tcPr>
            <w:tcW w:type="dxa" w:w="9360"/>
            <w:shd w:fill="F2F4F7"/>
            <w:vAlign w:val="center"/>
            <w:tcMar>
              <w:top w:w="100" w:type="dxa"/>
              <w:start w:w="120" w:type="dxa"/>
              <w:bottom w:w="100" w:type="dxa"/>
              <w:end w:w="120" w:type="dxa"/>
            </w:tcMar>
          </w:tcPr>
          <w:p>
            <w:pPr>
              <w:spacing w:before="0" w:after="0"/>
            </w:pPr>
            <w:r>
              <w:rPr>
                <w:rFonts w:ascii="Calibri" w:hAnsi="Calibri"/>
                <w:b/>
                <w:color w:val="17324D"/>
                <w:sz w:val="20"/>
              </w:rPr>
              <w:t xml:space="preserve">Default data class: </w:t>
            </w:r>
            <w:r>
              <w:rPr>
                <w:rFonts w:ascii="Calibri" w:hAnsi="Calibri"/>
                <w:color w:val="20262E"/>
                <w:sz w:val="20"/>
              </w:rPr>
              <w:t>No Personal Information or sensitive information. Use synthetic, de-identified or appropriately redacted material only.</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repository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Client-controlled Google Workspace / SharePoint / other: ____________________</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Production system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Personal or health information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Local download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Not approved unless required for an approved redacted document</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 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No Client Confidential Information or Client Data in AI. Public/general research only unless a signed AI approval is attached.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Return/delete project Client Data within 30 days after acceptance, subject to lawful retention and backup cycle</w:t>
            </w:r>
          </w:p>
        </w:tc>
      </w:tr>
    </w:tbl>
    <w:p>
      <w:pPr>
        <w:spacing w:after="20"/>
      </w:pPr>
    </w:p>
    <w:p>
      <w:pPr>
        <w:pStyle w:val="Heading1"/>
      </w:pPr>
      <w:r>
        <w:t>9. Intellectual property</w:t>
      </w:r>
    </w:p>
    <w:p>
      <w:r>
        <w:rPr>
          <w:rFonts w:ascii="Calibri" w:hAnsi="Calibri"/>
          <w:i w:val="0"/>
        </w:rPr>
        <w:t>The Client-owned Deliverable model in the CSA applies: on full payment, the Client owns the project-specific maps and report, excluding Heutrix Background Materials and third-party materials. The Client receives the embedded licence described in the CSA.</w:t>
      </w:r>
    </w:p>
    <w:p>
      <w:pPr>
        <w:pStyle w:val="Heading1"/>
      </w:pPr>
      <w:r>
        <w:t>10. Special Conditions</w:t>
      </w:r>
    </w:p>
    <w:p>
      <w:r>
        <w:rPr>
          <w:rFonts w:ascii="Calibri" w:hAnsi="Calibri"/>
          <w:i w:val="0"/>
        </w:rPr>
        <w:t>________________________________________________________________________________</w:t>
      </w:r>
    </w:p>
    <w:p>
      <w:r>
        <w:rPr>
          <w:rFonts w:ascii="Calibri" w:hAnsi="Calibri"/>
          <w:i w:val="0"/>
        </w:rPr>
        <w:t>________________________________________________________________________________</w:t>
      </w:r>
    </w:p>
    <w:p>
      <w:r>
        <w:rPr>
          <w:rFonts w:ascii="Calibri" w:hAnsi="Calibri"/>
          <w:i w:val="0"/>
        </w:rPr>
        <w:t>If blank, no Special Conditions apply.</w:t>
      </w:r>
    </w:p>
    <w:p>
      <w:pPr>
        <w:pStyle w:val="Heading1"/>
      </w:pPr>
      <w:r>
        <w:t>Signing</w:t>
      </w:r>
    </w:p>
    <w:p>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Signature: 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Name: 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Position: 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Date: _______________________________</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Email for notices: __________________</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17E"/>
        <w:sz w:val="17"/>
      </w:rPr>
      <w:t xml:space="preserve">Heutrix Pty Ltd  |  v1.0  |  </w:t>
    </w:r>
    <w:r>
      <w:rPr>
        <w:rFonts w:ascii="Calibri" w:hAnsi="Calibri"/>
        <w:color w:val="66717E"/>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66717E"/>
        <w:sz w:val="17"/>
      </w:rPr>
      <w:t>HEUTRIX  |  Workflow Diagnostic Order Form</w:t>
    </w:r>
    <w:r>
      <w:rPr>
        <w:rFonts w:ascii="Calibri" w:hAnsi="Calibri"/>
        <w:b/>
        <w:color w:val="66717E"/>
        <w:sz w:val="17"/>
      </w:rPr>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Diagnostic Order Form</dc:title>
  <dc:subject>Heutrix client legal pack</dc:subject>
  <dc:creator/>
  <cp:keywords/>
  <dc:description>Prepared for solicitor review and client use.</dc:description>
  <cp:lastModifiedBy/>
  <cp:revision>1</cp:revision>
  <dcterms:created xsi:type="dcterms:W3CDTF">2013-12-23T23:15:00Z</dcterms:created>
  <dcterms:modified xsi:type="dcterms:W3CDTF">2013-12-23T23:15:00Z</dcterms:modified>
  <cp:category/>
</cp:coreProperties>
</file>