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Calibri" w:hAnsi="Calibri"/>
          <w:b/>
          <w:color w:val="2E74B5"/>
          <w:sz w:val="18"/>
        </w:rPr>
        <w:t>PROJECT TEMPLATE</w:t>
      </w:r>
    </w:p>
    <w:p>
      <w:pPr>
        <w:spacing w:before="0" w:after="120"/>
      </w:pPr>
      <w:r>
        <w:rPr>
          <w:rFonts w:ascii="Calibri" w:hAnsi="Calibri"/>
          <w:b/>
          <w:color w:val="17324D"/>
          <w:sz w:val="56"/>
        </w:rPr>
        <w:t>Statement of Work</w:t>
      </w:r>
    </w:p>
    <w:p>
      <w:pPr>
        <w:spacing w:before="0" w:after="320"/>
      </w:pPr>
      <w:r>
        <w:rPr>
          <w:rFonts w:ascii="Calibri" w:hAnsi="Calibri"/>
          <w:color w:val="66717E"/>
          <w:sz w:val="26"/>
        </w:rPr>
        <w:t>For workflow builds, visibility builds, Safe AI packs and tailored internal systems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SOW number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Provider</w:t>
            </w:r>
          </w:p>
        </w:tc>
        <w:tc>
          <w:tcPr>
            <w:tcW w:type="dxa" w:w="66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Heutrix Pty Ltd | ACN / ABN: 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Client legal name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Project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SOW date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CSA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Heutrix Client Services Agreement v1.0, dated 1 August 2026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2F4F7"/>
          <w:left w:val="single" w:sz="2" w:space="0" w:color="F2F4F7"/>
          <w:bottom w:val="single" w:sz="2" w:space="0" w:color="F2F4F7"/>
          <w:right w:val="single" w:sz="2" w:space="0" w:color="F2F4F7"/>
          <w:insideH w:val="single" w:sz="2" w:space="0" w:color="F2F4F7"/>
          <w:insideV w:val="single" w:sz="2" w:space="0" w:color="F2F4F7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2F4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Completion rule: </w:t>
            </w:r>
            <w:r>
              <w:rPr>
                <w:rFonts w:ascii="Calibri" w:hAnsi="Calibri"/>
                <w:color w:val="20262E"/>
                <w:sz w:val="20"/>
              </w:rPr>
              <w:t>Do not sign this SOW until every selection affecting scope, fees, data, AI, IP, insurance and acceptance has been completed. Delete unused options in the client issue copy.</w:t>
            </w:r>
          </w:p>
        </w:tc>
      </w:tr>
    </w:tbl>
    <w:p>
      <w:pPr>
        <w:spacing w:after="20"/>
      </w:pPr>
    </w:p>
    <w:p>
      <w:pPr>
        <w:pStyle w:val="Heading1"/>
      </w:pPr>
      <w:r>
        <w:t>1. Project outcome and scope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Operational problem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Workflow start / end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Target outcome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In-scope teams / users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Out-of-scope work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</w:tbl>
    <w:p>
      <w:pPr>
        <w:spacing w:after="20"/>
      </w:pPr>
    </w:p>
    <w:p>
      <w:r>
        <w:rPr>
          <w:rFonts w:ascii="Calibri" w:hAnsi="Calibri"/>
          <w:i w:val="0"/>
        </w:rPr>
        <w:t>Project description: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pPr>
        <w:pStyle w:val="Heading1"/>
      </w:pPr>
      <w:r>
        <w:t>2. Services and deliverables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500"/>
        <w:gridCol w:w="2700"/>
        <w:gridCol w:w="1200"/>
        <w:gridCol w:w="1400"/>
        <w:gridCol w:w="3560"/>
      </w:tblGrid>
      <w:tr>
        <w:trPr>
          <w:tblHeader w:val="true"/>
          <w:cantSplit/>
        </w:trPr>
        <w:tc>
          <w:tcPr>
            <w:tcW w:type="dxa" w:w="5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#</w:t>
            </w:r>
          </w:p>
        </w:tc>
        <w:tc>
          <w:tcPr>
            <w:tcW w:type="dxa" w:w="27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Service / deliverable</w:t>
            </w:r>
          </w:p>
        </w:tc>
        <w:tc>
          <w:tcPr>
            <w:tcW w:type="dxa" w:w="12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14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Target</w:t>
            </w:r>
          </w:p>
        </w:tc>
        <w:tc>
          <w:tcPr>
            <w:tcW w:type="dxa" w:w="356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Acceptance criteria</w:t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1</w:t>
            </w:r>
            <w:r>
              <w:br/>
              <w:br/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2</w:t>
            </w:r>
            <w:r>
              <w:br/>
              <w:br/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3</w:t>
            </w:r>
            <w:r>
              <w:br/>
              <w:br/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4</w:t>
            </w:r>
            <w:r>
              <w:br/>
              <w:br/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5</w:t>
            </w:r>
            <w:r>
              <w:br/>
              <w:br/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</w:tr>
      <w:tr>
        <w:trPr>
          <w:cantSplit/>
        </w:trPr>
        <w:tc>
          <w:tcPr>
            <w:tcW w:type="dxa" w:w="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  <w:t>6</w:t>
            </w:r>
            <w:r>
              <w:br/>
              <w:br/>
            </w:r>
          </w:p>
        </w:tc>
        <w:tc>
          <w:tcPr>
            <w:tcW w:type="dxa" w:w="2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1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  <w:tc>
          <w:tcPr>
            <w:tcW w:type="dxa" w:w="3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</w:r>
            <w:r>
              <w:br/>
              <w:br/>
            </w:r>
          </w:p>
        </w:tc>
      </w:tr>
    </w:tbl>
    <w:p>
      <w:pPr>
        <w:pStyle w:val="Heading1"/>
      </w:pPr>
      <w:r>
        <w:t>3. Approach, milestones and governance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Target start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Target completion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Heutrix lead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Client project owner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Meeting / reporting cadence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Review period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Five business days unless stated here: ____________________</w:t>
            </w:r>
          </w:p>
        </w:tc>
      </w:tr>
    </w:tbl>
    <w:p>
      <w:pPr>
        <w:spacing w:after="20"/>
      </w:pP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The Client project owner consolidates feedback and decisions.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The parties record material decisions, assumptions, risks and approvals in the agreed repository.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A signed Change Request is required before material changes to scope, fees, dates, data, tools, access or acceptance criteria.</w:t>
      </w:r>
    </w:p>
    <w:p>
      <w:pPr>
        <w:pStyle w:val="Heading1"/>
      </w:pPr>
      <w:r>
        <w:t>4. Client dependencies and assumptions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pPr>
        <w:pStyle w:val="Heading1"/>
      </w:pPr>
      <w:r>
        <w:t>5. Fees and invoicing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00"/>
        <w:gridCol w:w="1800"/>
        <w:gridCol w:w="2860"/>
        <w:gridCol w:w="1600"/>
      </w:tblGrid>
      <w:tr>
        <w:trPr>
          <w:tblHeader w:val="true"/>
          <w:cantSplit/>
        </w:trPr>
        <w:tc>
          <w:tcPr>
            <w:tcW w:type="dxa" w:w="31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Milestone / basis</w:t>
            </w:r>
          </w:p>
        </w:tc>
        <w:tc>
          <w:tcPr>
            <w:tcW w:type="dxa" w:w="18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Amount ex GST</w:t>
            </w:r>
          </w:p>
        </w:tc>
        <w:tc>
          <w:tcPr>
            <w:tcW w:type="dxa" w:w="286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Invoice trigger</w:t>
            </w:r>
          </w:p>
        </w:tc>
        <w:tc>
          <w:tcPr>
            <w:tcW w:type="dxa" w:w="16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Payment due</w:t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</w:tr>
      <w:tr>
        <w:trPr>
          <w:cantSplit/>
        </w:trPr>
        <w:tc>
          <w:tcPr>
            <w:tcW w:type="dxa" w:w="3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7"/>
              </w:rPr>
              <w:br/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Total fees ex GST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AUD 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GST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Payable only if Heutrix is registered or required to be registered and issues a valid tax invoice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Approved expenses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None / as follows: 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Rate for approved extra work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AUD __________ per hour/day, ex GST</w:t>
            </w:r>
          </w:p>
        </w:tc>
      </w:tr>
    </w:tbl>
    <w:p>
      <w:pPr>
        <w:spacing w:after="20"/>
      </w:pPr>
    </w:p>
    <w:p>
      <w:pPr>
        <w:pStyle w:val="Heading1"/>
      </w:pPr>
      <w:r>
        <w:t>6. Intellectual property model - select one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[  ] Client-owned Deliverables. The CSA default applies on full payment, excluding Heutrix Background Materials and third-party materials.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[  ] Heutrix-licensed solution. Licence scope, users, term, support, portability and exit rights: ________________________________________________.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[  ] Other signed IP arrangement: ________________________________________________________________.</w:t>
      </w:r>
    </w:p>
    <w:p>
      <w:pPr>
        <w:pStyle w:val="Heading1"/>
      </w:pPr>
      <w:r>
        <w:t>7. Data classification and access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Highest data class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[  ] Public  [  ] Internal  [  ] Confidential  [  ] Personal  [  ] Sensitive / health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Approved data categories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Prohibited data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Approved repository / tenant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Approved systems and access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Storage / access countries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Approved subprocessors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Access end date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Return / deletion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2" w:space="0" w:color="FFF4CE"/>
          <w:left w:val="single" w:sz="2" w:space="0" w:color="FFF4CE"/>
          <w:bottom w:val="single" w:sz="2" w:space="0" w:color="FFF4CE"/>
          <w:right w:val="single" w:sz="2" w:space="0" w:color="FFF4CE"/>
          <w:insideH w:val="single" w:sz="2" w:space="0" w:color="FFF4CE"/>
          <w:insideV w:val="single" w:sz="2" w:space="0" w:color="FFF4C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7324D"/>
                <w:sz w:val="20"/>
              </w:rPr>
              <w:t xml:space="preserve">Attachment required: </w:t>
            </w:r>
            <w:r>
              <w:rPr>
                <w:rFonts w:ascii="Calibri" w:hAnsi="Calibri"/>
                <w:color w:val="20262E"/>
                <w:sz w:val="20"/>
              </w:rPr>
              <w:t>If Personal Information, sensitive information or production access is selected, attach a completed Data and System Access Authorisation before access begins.</w:t>
            </w:r>
          </w:p>
        </w:tc>
      </w:tr>
    </w:tbl>
    <w:p>
      <w:pPr>
        <w:spacing w:after="20"/>
      </w:pPr>
    </w:p>
    <w:p>
      <w:pPr>
        <w:pStyle w:val="Heading1"/>
      </w:pPr>
      <w:r>
        <w:t>8. AI setting - select one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[  ] No AI use for this SOW.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[  ] AI limited to public/general research with no Client Data or Confidential Information.</w:t>
      </w:r>
    </w:p>
    <w:p>
      <w:pPr>
        <w:spacing w:before="0" w:after="160" w:line="280" w:lineRule="auto"/>
        <w:numPr>
          <w:ilvl w:val="0"/>
          <w:numId w:val="10"/>
        </w:numPr>
      </w:pPr>
      <w:r>
        <w:rPr>
          <w:rFonts w:ascii="Calibri" w:hAnsi="Calibri"/>
        </w:rPr>
        <w:t>[  ] Approved AI use is recorded in the attached AI Use Case Approval dated ____________________.</w:t>
      </w:r>
    </w:p>
    <w:p>
      <w:pPr>
        <w:pStyle w:val="Heading1"/>
      </w:pPr>
      <w:r>
        <w:t>9. Security, continuity and handover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Authentication / MFA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Backup owner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Business continuity requirement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Testing / rollback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Documentation and training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Support / warranty period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Handover items</w:t>
            </w:r>
          </w:p>
        </w:tc>
        <w:tc>
          <w:tcPr>
            <w:tcW w:type="dxa" w:w="6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10. Insurance - insert verified cover only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Professional indemnity</w:t>
            </w:r>
          </w:p>
        </w:tc>
        <w:tc>
          <w:tcPr>
            <w:tcW w:type="dxa" w:w="66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Insurer / policy / limit / expiry: 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Public liability</w:t>
            </w:r>
          </w:p>
        </w:tc>
        <w:tc>
          <w:tcPr>
            <w:tcW w:type="dxa" w:w="66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Insurer / policy / limit / expiry: 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Cyber</w:t>
            </w:r>
          </w:p>
        </w:tc>
        <w:tc>
          <w:tcPr>
            <w:tcW w:type="dxa" w:w="66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Insurer / policy / limit / expiry: __________________________________</w:t>
            </w:r>
          </w:p>
        </w:tc>
      </w:tr>
      <w:tr>
        <w:trPr>
          <w:cantSplit/>
        </w:trPr>
        <w:tc>
          <w:tcPr>
            <w:tcW w:type="dxa" w:w="2700"/>
            <w:shd w:fill="E8EE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Client requirement / accepted gap</w:t>
            </w:r>
          </w:p>
        </w:tc>
        <w:tc>
          <w:tcPr>
            <w:tcW w:type="dxa" w:w="6660"/>
            <w:shd w:fill="FFF4C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________________________________________________________</w:t>
            </w:r>
          </w:p>
        </w:tc>
      </w:tr>
    </w:tbl>
    <w:p>
      <w:pPr>
        <w:spacing w:after="20"/>
      </w:pPr>
    </w:p>
    <w:p>
      <w:pPr>
        <w:pStyle w:val="Heading1"/>
      </w:pPr>
      <w:r>
        <w:t>11. Special Conditions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r>
        <w:rPr>
          <w:rFonts w:ascii="Calibri" w:hAnsi="Calibri"/>
          <w:i w:val="0"/>
        </w:rPr>
        <w:t>________________________________________________________________________________</w:t>
      </w:r>
    </w:p>
    <w:p>
      <w:pPr>
        <w:pStyle w:val="Heading1"/>
      </w:pPr>
      <w:r>
        <w:t>Signing</w:t>
      </w:r>
    </w:p>
    <w:p>
      <w:r>
        <w:rPr>
          <w:rFonts w:ascii="Calibri" w:hAnsi="Calibri"/>
          <w:i w:val="0"/>
        </w:rPr>
        <w:t>Each signatory confirms that they are authorised to bind the party named below. Signatures may be electronic and in counterparts.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Signed for Heutrix Pty Ltd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Signed for the Client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Signature: __________________________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Signature: __________________________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Name: ______________________________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Name: ______________________________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Position: ___________________________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Position: ___________________________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Date: _______________________________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Date: _______________________________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Email for notices: __________________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62E"/>
                <w:sz w:val="19"/>
              </w:rPr>
              <w:t>Email for notices: __________________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66717E"/>
        <w:sz w:val="17"/>
      </w:rPr>
      <w:t xml:space="preserve">Heutrix Pty Ltd  |  v1.0  |  </w:t>
    </w:r>
    <w:r>
      <w:rPr>
        <w:rFonts w:ascii="Calibri" w:hAnsi="Calibri"/>
        <w:color w:val="66717E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</w:pPr>
    <w:r>
      <w:rPr>
        <w:rFonts w:ascii="Calibri" w:hAnsi="Calibri"/>
        <w:b/>
        <w:color w:val="66717E"/>
        <w:sz w:val="17"/>
      </w:rPr>
      <w:t>HEUTRIX  |  Statement of Work Template</w:t>
    </w:r>
    <w:r>
      <w:rPr>
        <w:rFonts w:ascii="Calibri" w:hAnsi="Calibri"/>
        <w:b/>
        <w:color w:val="66717E"/>
        <w:sz w:val="17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/>
      <w:color w:val="2026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Template</dc:title>
  <dc:subject>Heutrix client legal pack</dc:subject>
  <dc:creator/>
  <cp:keywords/>
  <dc:description>Prepared for solicitor review and client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