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PUBLIC LEGAL NOTICE</w:t>
      </w:r>
    </w:p>
    <w:p>
      <w:pPr>
        <w:spacing w:before="0" w:after="120"/>
      </w:pPr>
      <w:r>
        <w:rPr>
          <w:rFonts w:ascii="Calibri" w:hAnsi="Calibri"/>
          <w:b/>
          <w:color w:val="17324D"/>
          <w:sz w:val="56"/>
        </w:rPr>
        <w:t>Privacy Policy</w:t>
      </w:r>
    </w:p>
    <w:p>
      <w:pPr>
        <w:spacing w:before="0" w:after="320"/>
      </w:pPr>
      <w:r>
        <w:rPr>
          <w:rFonts w:ascii="Calibri" w:hAnsi="Calibri"/>
          <w:color w:val="66717E"/>
          <w:sz w:val="26"/>
        </w:rPr>
        <w:t>How Heutrix handles personal and health information</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Entity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ACN / ABN: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 August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contact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Use the Heutrix website contact form and mark the message 'Privacy'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100" w:type="dxa"/>
              <w:start w:w="120" w:type="dxa"/>
              <w:bottom w:w="100" w:type="dxa"/>
              <w:end w:w="120" w:type="dxa"/>
            </w:tcMar>
          </w:tcPr>
          <w:p>
            <w:pPr>
              <w:spacing w:before="0" w:after="0"/>
            </w:pPr>
            <w:r>
              <w:rPr>
                <w:rFonts w:ascii="Calibri" w:hAnsi="Calibri"/>
                <w:b/>
                <w:color w:val="17324D"/>
                <w:sz w:val="20"/>
              </w:rPr>
              <w:t xml:space="preserve">Publication check: </w:t>
            </w:r>
            <w:r>
              <w:rPr>
                <w:rFonts w:ascii="Calibri" w:hAnsi="Calibri"/>
                <w:color w:val="20262E"/>
                <w:sz w:val="20"/>
              </w:rPr>
              <w:t>Before publishing, reconcile this policy to the live website forms, cookies, analytics, CRM, booking service, email platform, cloud tenants, subprocessors and actual overseas access locations.</w:t>
            </w:r>
          </w:p>
        </w:tc>
      </w:tr>
    </w:tbl>
    <w:p>
      <w:pPr>
        <w:spacing w:after="20"/>
      </w:pPr>
    </w:p>
    <w:p>
      <w:pPr>
        <w:pStyle w:val="Heading1"/>
      </w:pPr>
      <w:r>
        <w:t>1. Scope and our approach</w:t>
      </w:r>
    </w:p>
    <w:p>
      <w:r>
        <w:rPr>
          <w:rFonts w:ascii="Calibri" w:hAnsi="Calibri"/>
          <w:i w:val="0"/>
        </w:rPr>
        <w:t>Heutrix provides workflow improvement, practical systems, operational visibility and controlled AI support to Australian allied health practices and disability support providers. This policy explains how Heutrix Pty Ltd collects, holds, uses and discloses personal information.</w:t>
      </w:r>
    </w:p>
    <w:p>
      <w:r>
        <w:rPr>
          <w:rFonts w:ascii="Calibri" w:hAnsi="Calibri"/>
          <w:i w:val="0"/>
        </w:rPr>
        <w:t>Heutrix complies with privacy and health-records laws that apply to its handling, including the Privacy Act 1988 (Cth) where applicable and the Health Records Act 2001 (Vic) for health information handled in Victoria. Where a law does not technically apply, Heutrix aims to use practices consistent with the Australian Privacy Principles as a baseline, subject to legal and operational context.</w:t>
      </w:r>
    </w:p>
    <w:p>
      <w:pPr>
        <w:pStyle w:val="Heading1"/>
      </w:pPr>
      <w:r>
        <w:t>2. Information we collect</w:t>
      </w:r>
    </w:p>
    <w:p>
      <w:pPr>
        <w:spacing w:before="0" w:after="160" w:line="280" w:lineRule="auto"/>
        <w:numPr>
          <w:ilvl w:val="0"/>
          <w:numId w:val="10"/>
        </w:numPr>
      </w:pPr>
      <w:r>
        <w:rPr>
          <w:rFonts w:ascii="Calibri" w:hAnsi="Calibri"/>
        </w:rPr>
        <w:t>Contact and identity information, such as name, role, organisation, business email, phone number and correspondence details.</w:t>
      </w:r>
    </w:p>
    <w:p>
      <w:pPr>
        <w:spacing w:before="0" w:after="160" w:line="280" w:lineRule="auto"/>
        <w:numPr>
          <w:ilvl w:val="0"/>
          <w:numId w:val="10"/>
        </w:numPr>
      </w:pPr>
      <w:r>
        <w:rPr>
          <w:rFonts w:ascii="Calibri" w:hAnsi="Calibri"/>
        </w:rPr>
        <w:t>Enquiry and relationship information, such as the workflow issue, service interest, meeting notes, proposals, contracts, feedback and communication preferences.</w:t>
      </w:r>
    </w:p>
    <w:p>
      <w:pPr>
        <w:spacing w:before="0" w:after="160" w:line="280" w:lineRule="auto"/>
        <w:numPr>
          <w:ilvl w:val="0"/>
          <w:numId w:val="10"/>
        </w:numPr>
      </w:pPr>
      <w:r>
        <w:rPr>
          <w:rFonts w:ascii="Calibri" w:hAnsi="Calibri"/>
        </w:rPr>
        <w:t>Commercial and transaction information, such as billing contact, ABN/ACN, invoices and payment status. Heutrix does not need card details where payments are handled by a payment provider or bank.</w:t>
      </w:r>
    </w:p>
    <w:p>
      <w:pPr>
        <w:spacing w:before="0" w:after="160" w:line="280" w:lineRule="auto"/>
        <w:numPr>
          <w:ilvl w:val="0"/>
          <w:numId w:val="10"/>
        </w:numPr>
      </w:pPr>
      <w:r>
        <w:rPr>
          <w:rFonts w:ascii="Calibri" w:hAnsi="Calibri"/>
        </w:rPr>
        <w:t>Project information, such as process documents, system details, access records, user feedback, requirements, decisions, testing evidence and Deliverables.</w:t>
      </w:r>
    </w:p>
    <w:p>
      <w:pPr>
        <w:spacing w:before="0" w:after="160" w:line="280" w:lineRule="auto"/>
        <w:numPr>
          <w:ilvl w:val="0"/>
          <w:numId w:val="10"/>
        </w:numPr>
      </w:pPr>
      <w:r>
        <w:rPr>
          <w:rFonts w:ascii="Calibri" w:hAnsi="Calibri"/>
        </w:rPr>
        <w:t>Website and technical information made available by the website or its configured providers, such as IP address, device/browser details, referral page, form events, cookie choices and security logs.</w:t>
      </w:r>
    </w:p>
    <w:p>
      <w:pPr>
        <w:spacing w:before="0" w:after="160" w:line="280" w:lineRule="auto"/>
        <w:numPr>
          <w:ilvl w:val="0"/>
          <w:numId w:val="10"/>
        </w:numPr>
      </w:pPr>
      <w:r>
        <w:rPr>
          <w:rFonts w:ascii="Calibri" w:hAnsi="Calibri"/>
        </w:rPr>
        <w:t>Applicant, worker or supplier information where a person applies to work with Heutrix or provides services to it.</w:t>
      </w:r>
    </w:p>
    <w:p>
      <w:r>
        <w:rPr>
          <w:rFonts w:ascii="Calibri" w:hAnsi="Calibri"/>
          <w:i w:val="0"/>
        </w:rPr>
        <w:t>Heutrix does not ask for patient, participant, diagnosis, Medicare, clinical, worker-record or other sensitive information in website forms or an initial fit call. A general and non-identifying description is sufficient.</w:t>
      </w:r>
    </w:p>
    <w:p>
      <w:pPr>
        <w:pStyle w:val="Heading1"/>
      </w:pPr>
      <w:r>
        <w:t>3. Project personal and health information</w:t>
      </w:r>
    </w:p>
    <w:p>
      <w:r>
        <w:rPr>
          <w:rFonts w:ascii="Calibri" w:hAnsi="Calibri"/>
          <w:i w:val="0"/>
        </w:rPr>
        <w:t>Some client workflows involve personal, sensitive or health information. Heutrix seeks to avoid receiving that information where synthetic, de-identified or redacted material can achieve the purpose. Before access, the parties document the purpose, authority, minimum data, systems, users, security, location, retention and deletion arrangements.</w:t>
      </w:r>
    </w:p>
    <w:p>
      <w:r>
        <w:rPr>
          <w:rFonts w:ascii="Calibri" w:hAnsi="Calibri"/>
          <w:i w:val="0"/>
        </w:rPr>
        <w:t>When Heutrix handles information on a client's instructions, the client remains responsible for its own notices, consents, professional duties and authority to disclose. Heutrix remains responsible for its own handling and contractual controls.</w:t>
      </w:r>
    </w:p>
    <w:p>
      <w:pPr>
        <w:pStyle w:val="Heading1"/>
      </w:pPr>
      <w:r>
        <w:t>4. How we collect information</w:t>
      </w:r>
    </w:p>
    <w:p>
      <w:pPr>
        <w:spacing w:before="0" w:after="160" w:line="280" w:lineRule="auto"/>
        <w:numPr>
          <w:ilvl w:val="0"/>
          <w:numId w:val="10"/>
        </w:numPr>
      </w:pPr>
      <w:r>
        <w:rPr>
          <w:rFonts w:ascii="Calibri" w:hAnsi="Calibri"/>
        </w:rPr>
        <w:t>Directly from a person through a website form, booking, email, call, workshop, contract, survey or project interaction.</w:t>
      </w:r>
    </w:p>
    <w:p>
      <w:pPr>
        <w:spacing w:before="0" w:after="160" w:line="280" w:lineRule="auto"/>
        <w:numPr>
          <w:ilvl w:val="0"/>
          <w:numId w:val="10"/>
        </w:numPr>
      </w:pPr>
      <w:r>
        <w:rPr>
          <w:rFonts w:ascii="Calibri" w:hAnsi="Calibri"/>
        </w:rPr>
        <w:t>From a person's organisation, authorised representatives, referrals or project participants.</w:t>
      </w:r>
    </w:p>
    <w:p>
      <w:pPr>
        <w:spacing w:before="0" w:after="160" w:line="280" w:lineRule="auto"/>
        <w:numPr>
          <w:ilvl w:val="0"/>
          <w:numId w:val="10"/>
        </w:numPr>
      </w:pPr>
      <w:r>
        <w:rPr>
          <w:rFonts w:ascii="Calibri" w:hAnsi="Calibri"/>
        </w:rPr>
        <w:t>From approved client systems and documents where a signed engagement authorises access.</w:t>
      </w:r>
    </w:p>
    <w:p>
      <w:pPr>
        <w:spacing w:before="0" w:after="160" w:line="280" w:lineRule="auto"/>
        <w:numPr>
          <w:ilvl w:val="0"/>
          <w:numId w:val="10"/>
        </w:numPr>
      </w:pPr>
      <w:r>
        <w:rPr>
          <w:rFonts w:ascii="Calibri" w:hAnsi="Calibri"/>
        </w:rPr>
        <w:t>From public professional or business sources where reasonably necessary for a business relationship.</w:t>
      </w:r>
    </w:p>
    <w:p>
      <w:pPr>
        <w:spacing w:before="0" w:after="160" w:line="280" w:lineRule="auto"/>
        <w:numPr>
          <w:ilvl w:val="0"/>
          <w:numId w:val="10"/>
        </w:numPr>
      </w:pPr>
      <w:r>
        <w:rPr>
          <w:rFonts w:ascii="Calibri" w:hAnsi="Calibri"/>
        </w:rPr>
        <w:t>Automatically through the website and security/hosting systems as configured at the time.</w:t>
      </w:r>
    </w:p>
    <w:p>
      <w:pPr>
        <w:pStyle w:val="Heading1"/>
      </w:pPr>
      <w:r>
        <w:t>5. Why we collect and use information</w:t>
      </w:r>
    </w:p>
    <w:p>
      <w:pPr>
        <w:spacing w:before="0" w:after="160" w:line="280" w:lineRule="auto"/>
        <w:numPr>
          <w:ilvl w:val="0"/>
          <w:numId w:val="10"/>
        </w:numPr>
      </w:pPr>
      <w:r>
        <w:rPr>
          <w:rFonts w:ascii="Calibri" w:hAnsi="Calibri"/>
        </w:rPr>
        <w:t>Respond to enquiries, assess fit, schedule meetings and prepare proposals.</w:t>
      </w:r>
    </w:p>
    <w:p>
      <w:pPr>
        <w:spacing w:before="0" w:after="160" w:line="280" w:lineRule="auto"/>
        <w:numPr>
          <w:ilvl w:val="0"/>
          <w:numId w:val="10"/>
        </w:numPr>
      </w:pPr>
      <w:r>
        <w:rPr>
          <w:rFonts w:ascii="Calibri" w:hAnsi="Calibri"/>
        </w:rPr>
        <w:t>Enter, manage and perform client engagements, including discovery, design, testing, delivery, support and handover.</w:t>
      </w:r>
    </w:p>
    <w:p>
      <w:pPr>
        <w:spacing w:before="0" w:after="160" w:line="280" w:lineRule="auto"/>
        <w:numPr>
          <w:ilvl w:val="0"/>
          <w:numId w:val="10"/>
        </w:numPr>
      </w:pPr>
      <w:r>
        <w:rPr>
          <w:rFonts w:ascii="Calibri" w:hAnsi="Calibri"/>
        </w:rPr>
        <w:t>Manage accounts, invoices, suppliers, records, quality, risk, security and legal obligations.</w:t>
      </w:r>
    </w:p>
    <w:p>
      <w:pPr>
        <w:spacing w:before="0" w:after="160" w:line="280" w:lineRule="auto"/>
        <w:numPr>
          <w:ilvl w:val="0"/>
          <w:numId w:val="10"/>
        </w:numPr>
      </w:pPr>
      <w:r>
        <w:rPr>
          <w:rFonts w:ascii="Calibri" w:hAnsi="Calibri"/>
        </w:rPr>
        <w:t>Improve services, methods and website operation using information that is de-identified or otherwise lawfully used.</w:t>
      </w:r>
    </w:p>
    <w:p>
      <w:pPr>
        <w:spacing w:before="0" w:after="160" w:line="280" w:lineRule="auto"/>
        <w:numPr>
          <w:ilvl w:val="0"/>
          <w:numId w:val="10"/>
        </w:numPr>
      </w:pPr>
      <w:r>
        <w:rPr>
          <w:rFonts w:ascii="Calibri" w:hAnsi="Calibri"/>
        </w:rPr>
        <w:t>Send relevant service communications and, with required consent, marketing communications.</w:t>
      </w:r>
    </w:p>
    <w:p>
      <w:pPr>
        <w:spacing w:before="0" w:after="160" w:line="280" w:lineRule="auto"/>
        <w:numPr>
          <w:ilvl w:val="0"/>
          <w:numId w:val="10"/>
        </w:numPr>
      </w:pPr>
      <w:r>
        <w:rPr>
          <w:rFonts w:ascii="Calibri" w:hAnsi="Calibri"/>
        </w:rPr>
        <w:t>Protect people, systems, information and legal rights, and respond to incidents, complaints and lawful requests.</w:t>
      </w:r>
    </w:p>
    <w:p>
      <w:r>
        <w:rPr>
          <w:rFonts w:ascii="Calibri" w:hAnsi="Calibri"/>
          <w:i w:val="0"/>
        </w:rPr>
        <w:t>Heutrix will not use Client Data to train a general AI model, sell personal information, or use it for unrelated advertising.</w:t>
      </w:r>
    </w:p>
    <w:p>
      <w:pPr>
        <w:pStyle w:val="Heading1"/>
      </w:pPr>
      <w:r>
        <w:t>6. Disclosure and service providers</w:t>
      </w:r>
    </w:p>
    <w:p>
      <w:r>
        <w:rPr>
          <w:rFonts w:ascii="Calibri" w:hAnsi="Calibri"/>
          <w:i w:val="0"/>
        </w:rPr>
        <w:t>Heutrix may disclose personal information only as reasonably required to: authorised Heutrix personnel and approved contractors; professional advisers and insurers; hosting, collaboration, booking, communications, invoicing, security and support providers; the relevant client or its authorised representatives; and regulators, courts or law-enforcement bodies where authorised or required.</w:t>
      </w:r>
    </w:p>
    <w:p>
      <w:r>
        <w:rPr>
          <w:rFonts w:ascii="Calibri" w:hAnsi="Calibri"/>
          <w:i w:val="0"/>
        </w:rPr>
        <w:t>Project access is limited to people who need it. Providers handling project data must be approved for the data class and bound by appropriate terms. Heutrix does not authorise a provider to use Client Data for its own unrelated purposes.</w:t>
      </w:r>
    </w:p>
    <w:p>
      <w:pPr>
        <w:pStyle w:val="Heading1"/>
      </w:pPr>
      <w:r>
        <w:t>7. Overseas access and cloud services</w:t>
      </w:r>
    </w:p>
    <w:p>
      <w:r>
        <w:rPr>
          <w:rFonts w:ascii="Calibri" w:hAnsi="Calibri"/>
          <w:i w:val="0"/>
        </w:rPr>
        <w:t>Some configured technology providers may store information or permit support access outside Australia. Before Personal Information is used in a client project, the SOW or access authorisation should identify likely countries or regions where practicable and address applicable cross-border requirements.</w:t>
      </w:r>
    </w:p>
    <w:p>
      <w:r>
        <w:rPr>
          <w:rFonts w:ascii="Calibri" w:hAnsi="Calibri"/>
          <w:i w:val="0"/>
        </w:rPr>
        <w:t>Heutrix's approved platform categories for client project information are Google Workspace and Microsoft 365/SharePoint, but exact products, tenants, regions, settings and subprocessors must be approved. This policy must be updated when the production configuration is confirmed.</w:t>
      </w:r>
    </w:p>
    <w:p>
      <w:pPr>
        <w:pStyle w:val="Heading1"/>
      </w:pPr>
      <w:r>
        <w:t>8. Security</w:t>
      </w:r>
    </w:p>
    <w:p>
      <w:r>
        <w:rPr>
          <w:rFonts w:ascii="Calibri" w:hAnsi="Calibri"/>
          <w:i w:val="0"/>
        </w:rPr>
        <w:t>Heutrix uses safeguards appropriate to the information and engagement, which may include access control, multi-factor authentication, least privilege, encryption in transit, supported devices, security updates, malware protection, controlled sharing, logging, backups and access removal. No method is completely secure, and Heutrix responds to suspected incidents through its incident process.</w:t>
      </w:r>
    </w:p>
    <w:p>
      <w:r>
        <w:rPr>
          <w:rFonts w:ascii="Calibri" w:hAnsi="Calibri"/>
          <w:i w:val="0"/>
        </w:rPr>
        <w:t>If a breach is likely to cause serious harm and notification law applies, Heutrix will assess and notify affected people and the relevant regulator as required. Where Heutrix handles data for a client, it will coordinate with the client under the contract.</w:t>
      </w:r>
    </w:p>
    <w:p>
      <w:pPr>
        <w:pStyle w:val="Heading1"/>
      </w:pPr>
      <w:r>
        <w:t>9. Retention and deletion</w:t>
      </w:r>
    </w:p>
    <w:p>
      <w:r>
        <w:rPr>
          <w:rFonts w:ascii="Calibri" w:hAnsi="Calibri"/>
          <w:i w:val="0"/>
        </w:rPr>
        <w:t>Heutrix keeps personal information only for as long as reasonably needed for the purpose, contract, dispute, insurance and legal recordkeeping. Project-specific return and deletion periods are set in the SOW. When information is no longer required, Heutrix takes reasonable steps to securely delete or de-identify it, subject to lawful retention and backup cycles.</w:t>
      </w:r>
    </w:p>
    <w:p>
      <w:pPr>
        <w:pStyle w:val="Heading1"/>
      </w:pPr>
      <w:r>
        <w:t>10. AI and automated decisions</w:t>
      </w:r>
    </w:p>
    <w:p>
      <w:r>
        <w:rPr>
          <w:rFonts w:ascii="Calibri" w:hAnsi="Calibri"/>
          <w:i w:val="0"/>
        </w:rPr>
        <w:t>Heutrix does not approve identifiable personal or health information for use in public generative AI tools. A client project may use an approved enterprise AI tool only after the use case, data, provider settings, location, retention, training controls and accountable human review are documented.</w:t>
      </w:r>
    </w:p>
    <w:p>
      <w:r>
        <w:rPr>
          <w:rFonts w:ascii="Calibri" w:hAnsi="Calibri"/>
          <w:i w:val="0"/>
        </w:rPr>
        <w:t>Heutrix does not use personal information to make solely automated decisions that have a legal or similarly significant effect on an individual. AI supports human work and does not replace clinical, care, safeguarding, legal, employment, financial, compliance or management decisions.</w:t>
      </w:r>
    </w:p>
    <w:p>
      <w:pPr>
        <w:pStyle w:val="Heading1"/>
      </w:pPr>
      <w:r>
        <w:t>11. Direct marketing</w:t>
      </w:r>
    </w:p>
    <w:p>
      <w:r>
        <w:rPr>
          <w:rFonts w:ascii="Calibri" w:hAnsi="Calibri"/>
          <w:i w:val="0"/>
        </w:rPr>
        <w:t>Heutrix sends commercial email or messages only where it has consent or another lawful basis, identifies itself and provides a functional unsubscribe. A person may opt out at any time using the unsubscribe method or by contacting Heutrix. Service, security, contract and transaction messages may still be sent where necessary.</w:t>
      </w:r>
    </w:p>
    <w:p>
      <w:pPr>
        <w:pStyle w:val="Heading1"/>
      </w:pPr>
      <w:r>
        <w:t>12. Access and correction</w:t>
      </w:r>
    </w:p>
    <w:p>
      <w:r>
        <w:rPr>
          <w:rFonts w:ascii="Calibri" w:hAnsi="Calibri"/>
          <w:i w:val="0"/>
        </w:rPr>
        <w:t>A person may ask to access or correct personal information Heutrix holds by using the website contact form and marking the message 'Privacy - access' or 'Privacy - correction'. Heutrix may verify identity, will respond within a reasonable period and will explain any lawful refusal. A permitted reasonable access charge will be disclosed before work begins; no fee is charged to request access or correction.</w:t>
      </w:r>
    </w:p>
    <w:p>
      <w:pPr>
        <w:pStyle w:val="Heading1"/>
      </w:pPr>
      <w:r>
        <w:t>13. Privacy questions and complaints</w:t>
      </w:r>
    </w:p>
    <w:p>
      <w:r>
        <w:rPr>
          <w:rFonts w:ascii="Calibri" w:hAnsi="Calibri"/>
          <w:i w:val="0"/>
        </w:rPr>
        <w:t>Send a privacy question or complaint through the Heutrix website contact form and mark it 'Privacy complaint'. Include contact details, the relevant interaction and the outcome sought, but do not include unnecessary sensitive information. Heutrix will normally acknowledge within five business days, investigate fairly and aim to respond within 30 days.</w:t>
      </w:r>
    </w:p>
    <w:p>
      <w:r>
        <w:rPr>
          <w:rFonts w:ascii="Calibri" w:hAnsi="Calibri"/>
          <w:i w:val="0"/>
        </w:rPr>
        <w:t>If unresolved and the relevant law applies, a person may contact the Office of the Australian Information Commissioner at https://www.oaic.gov.au/ or the Victorian Health Complaints Commissioner at https://hcc.vic.gov.au/ for Victorian health information.</w:t>
      </w:r>
    </w:p>
    <w:p>
      <w:pPr>
        <w:pStyle w:val="Heading1"/>
      </w:pPr>
      <w:r>
        <w:t>14. Changes</w:t>
      </w:r>
    </w:p>
    <w:p>
      <w:r>
        <w:rPr>
          <w:rFonts w:ascii="Calibri" w:hAnsi="Calibri"/>
          <w:i w:val="0"/>
        </w:rPr>
        <w:t>Heutrix may update this policy to reflect legal, service or technology changes. The current version will show its effective date. Material changes affecting an existing project will also be handled under the relevant contract where required.</w:t>
      </w:r>
    </w:p>
    <w:p>
      <w:r>
        <w:br w:type="page"/>
      </w:r>
    </w:p>
    <w:p>
      <w:pPr>
        <w:spacing w:before="160" w:after="40"/>
      </w:pPr>
      <w:r>
        <w:rPr>
          <w:rFonts w:ascii="Calibri" w:hAnsi="Calibri"/>
          <w:b/>
          <w:color w:val="2E74B5"/>
          <w:sz w:val="18"/>
        </w:rPr>
        <w:t>WEBSITE FORM NOTICE</w:t>
      </w:r>
    </w:p>
    <w:p>
      <w:pPr>
        <w:spacing w:before="0" w:after="120"/>
      </w:pPr>
      <w:r>
        <w:rPr>
          <w:rFonts w:ascii="Calibri" w:hAnsi="Calibri"/>
          <w:b/>
          <w:color w:val="17324D"/>
          <w:sz w:val="56"/>
        </w:rPr>
        <w:t>Privacy Collection Notice</w:t>
      </w:r>
    </w:p>
    <w:p>
      <w:pPr>
        <w:spacing w:before="0" w:after="320"/>
      </w:pPr>
      <w:r>
        <w:rPr>
          <w:rFonts w:ascii="Calibri" w:hAnsi="Calibri"/>
          <w:color w:val="66717E"/>
          <w:sz w:val="26"/>
        </w:rPr>
        <w:t>For enquiry, fit-call and download forms</w:t>
      </w:r>
    </w:p>
    <w:p>
      <w:r>
        <w:rPr>
          <w:rFonts w:ascii="Calibri" w:hAnsi="Calibri"/>
          <w:i w:val="0"/>
        </w:rPr>
        <w:t>Heutrix Pty Ltd collects the name, role, organisation, business contact details and general enquiry information entered in this form so it can respond, assess service fit, arrange a meeting, provide the requested resource and manage the resulting business relationship.</w:t>
      </w:r>
    </w:p>
    <w:p>
      <w:r>
        <w:rPr>
          <w:rFonts w:ascii="Calibri" w:hAnsi="Calibri"/>
          <w:i w:val="0"/>
        </w:rPr>
        <w:t>Do not include patient or participant names, Medicare details, diagnoses, clinical information, worker records, photos, credentials or other sensitive information. A general, non-identifying workflow description is enough.</w:t>
      </w:r>
    </w:p>
    <w:p>
      <w:r>
        <w:rPr>
          <w:rFonts w:ascii="Calibri" w:hAnsi="Calibri"/>
          <w:i w:val="0"/>
        </w:rPr>
        <w:t>If required information is not provided, Heutrix may be unable to respond or provide the requested item. Heutrix may disclose information to configured website, hosting, booking, communication and business-service providers and to authorised personnel. Some providers may process information overseas; the current Privacy Policy explains the approach and will identify locations where practicable after systems are finalised.</w:t>
      </w:r>
    </w:p>
    <w:p>
      <w:r>
        <w:rPr>
          <w:rFonts w:ascii="Calibri" w:hAnsi="Calibri"/>
          <w:i w:val="0"/>
        </w:rPr>
        <w:t>The Heutrix Privacy Policy explains access, correction and complaints. Use the website contact form and mark privacy requests 'Privacy'.</w:t>
      </w:r>
    </w:p>
    <w:p>
      <w:pPr>
        <w:pStyle w:val="Heading2"/>
      </w:pPr>
      <w:r>
        <w:t>Optional marketing consent - keep separate from the enquiry</w:t>
      </w:r>
    </w:p>
    <w:p>
      <w:r>
        <w:rPr>
          <w:rFonts w:ascii="Calibri" w:hAnsi="Calibri"/>
          <w:i w:val="0"/>
        </w:rPr>
        <w:t>[  ] I agree to receive occasional Heutrix service updates and practical workflow/AI information by email. I can unsubscribe at any time.</w:t>
      </w:r>
    </w:p>
    <w:p>
      <w:r>
        <w:rPr>
          <w:rFonts w:ascii="Calibri" w:hAnsi="Calibri"/>
          <w:i w:val="0"/>
        </w:rPr>
        <w:t>Do not pre-select this box. Record when and how consent was given. A person can submit an enquiry without agreeing to marketing.</w:t>
      </w:r>
    </w:p>
    <w:p>
      <w:r>
        <w:br w:type="page"/>
      </w:r>
    </w:p>
    <w:p>
      <w:pPr>
        <w:spacing w:before="160" w:after="40"/>
      </w:pPr>
      <w:r>
        <w:rPr>
          <w:rFonts w:ascii="Calibri" w:hAnsi="Calibri"/>
          <w:b/>
          <w:color w:val="2E74B5"/>
          <w:sz w:val="18"/>
        </w:rPr>
        <w:t>PROJECT NOTICE TEMPLATE</w:t>
      </w:r>
    </w:p>
    <w:p>
      <w:pPr>
        <w:spacing w:before="0" w:after="120"/>
      </w:pPr>
      <w:r>
        <w:rPr>
          <w:rFonts w:ascii="Calibri" w:hAnsi="Calibri"/>
          <w:b/>
          <w:color w:val="17324D"/>
          <w:sz w:val="56"/>
        </w:rPr>
        <w:t>Project Collection Notice</w:t>
      </w:r>
    </w:p>
    <w:p>
      <w:pPr>
        <w:spacing w:before="0" w:after="320"/>
      </w:pPr>
      <w:r>
        <w:rPr>
          <w:rFonts w:ascii="Calibri" w:hAnsi="Calibri"/>
          <w:color w:val="66717E"/>
          <w:sz w:val="26"/>
        </w:rPr>
        <w:t>Complete when Heutrix collects personal information directly during a client project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 project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contact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Information collected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 optional</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Consequences if not provided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Usual disclosures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Overseas countries / regions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 correction / complaints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This notice supplements the Heutrix Privacy Policy and the client's own privacy notice. It must be completed and approved before use, and must reflect the actual information flow.</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Privacy Policy and Collection Notices</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and Collection Notices</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