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PUBLIC LEGAL TERMS</w:t>
      </w:r>
    </w:p>
    <w:p>
      <w:pPr>
        <w:spacing w:before="0" w:after="120"/>
      </w:pPr>
      <w:r>
        <w:rPr>
          <w:rFonts w:ascii="Calibri" w:hAnsi="Calibri"/>
          <w:b/>
          <w:color w:val="17324D"/>
          <w:sz w:val="56"/>
        </w:rPr>
        <w:t>Website Terms of Use</w:t>
      </w:r>
    </w:p>
    <w:p>
      <w:pPr>
        <w:spacing w:before="0" w:after="320"/>
      </w:pPr>
      <w:r>
        <w:rPr>
          <w:rFonts w:ascii="Calibri" w:hAnsi="Calibri"/>
          <w:color w:val="66717E"/>
          <w:sz w:val="26"/>
        </w:rPr>
        <w:t>Heutrix service information, enquiries and website access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Operator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ACN / ABN: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Effective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1 August 2026</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Contact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Use the contact method on the Heutrix website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1.0</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100" w:type="dxa"/>
              <w:start w:w="120" w:type="dxa"/>
              <w:bottom w:w="100" w:type="dxa"/>
              <w:end w:w="120" w:type="dxa"/>
            </w:tcMar>
          </w:tcPr>
          <w:p>
            <w:pPr>
              <w:spacing w:before="0" w:after="0"/>
            </w:pPr>
            <w:r>
              <w:rPr>
                <w:rFonts w:ascii="Calibri" w:hAnsi="Calibri"/>
                <w:b/>
                <w:color w:val="17324D"/>
                <w:sz w:val="20"/>
              </w:rPr>
              <w:t xml:space="preserve">Publication check: </w:t>
            </w:r>
            <w:r>
              <w:rPr>
                <w:rFonts w:ascii="Calibri" w:hAnsi="Calibri"/>
                <w:color w:val="20262E"/>
                <w:sz w:val="20"/>
              </w:rPr>
              <w:t>Complete the entity details and reconcile these terms to the live website functionality, downloads, forms, booking service, cookies and linked providers before publication.</w:t>
            </w:r>
          </w:p>
        </w:tc>
      </w:tr>
    </w:tbl>
    <w:p>
      <w:pPr>
        <w:spacing w:after="20"/>
      </w:pPr>
    </w:p>
    <w:p>
      <w:pPr>
        <w:pStyle w:val="Heading1"/>
      </w:pPr>
      <w:r>
        <w:t>1. Acceptance and scope</w:t>
      </w:r>
    </w:p>
    <w:p>
      <w:r>
        <w:rPr>
          <w:rFonts w:ascii="Calibri" w:hAnsi="Calibri"/>
          <w:i w:val="0"/>
        </w:rPr>
        <w:t>These terms apply to access and use of the Heutrix website, forms and downloadable general resources. By using the website, a person agrees to these terms. If they do not agree, they should not use the website.</w:t>
      </w:r>
    </w:p>
    <w:p>
      <w:r>
        <w:rPr>
          <w:rFonts w:ascii="Calibri" w:hAnsi="Calibri"/>
          <w:i w:val="0"/>
        </w:rPr>
        <w:t>These website terms do not govern paid client Services. A fit call, enquiry, proposal or website form does not create an engagement. Paid work requires a written scope and commercial agreement signed by Heutrix and the Client.</w:t>
      </w:r>
    </w:p>
    <w:p>
      <w:pPr>
        <w:pStyle w:val="Heading1"/>
      </w:pPr>
      <w:r>
        <w:t>2. General information and service boundaries</w:t>
      </w:r>
    </w:p>
    <w:p>
      <w:r>
        <w:rPr>
          <w:rFonts w:ascii="Calibri" w:hAnsi="Calibri"/>
          <w:i w:val="0"/>
        </w:rPr>
        <w:t>Website content explains Heutrix's workflow-improvement, operational-visibility, practical-system and controlled AI services. It is general information and is not legal, tax, financial, employment, clinical, medical, regulatory, official audit, NDIS registration, compliance assurance or professional advice for a particular person or organisation.</w:t>
      </w:r>
    </w:p>
    <w:p>
      <w:r>
        <w:rPr>
          <w:rFonts w:ascii="Calibri" w:hAnsi="Calibri"/>
          <w:i w:val="0"/>
        </w:rPr>
        <w:t>Heutrix does not guarantee cost savings, revenue, productivity, registration, compliance, regulator approval or business outcomes. A recommendation for a client depends on a signed scope, available evidence, data handling and feasibility review.</w:t>
      </w:r>
    </w:p>
    <w:p>
      <w:pPr>
        <w:pStyle w:val="Heading1"/>
      </w:pPr>
      <w:r>
        <w:t>3. Enquiries and sensitive information</w:t>
      </w:r>
    </w:p>
    <w:p>
      <w:r>
        <w:rPr>
          <w:rFonts w:ascii="Calibri" w:hAnsi="Calibri"/>
          <w:i w:val="0"/>
        </w:rPr>
        <w:t>Do not submit patient names, participant records, Medicare details, diagnoses, clinical information, worker records, photos, credentials or other sensitive information through a website form, booking note or initial message. Use a general and non-identifying description. Heutrix may delete unsolicited sensitive information where lawful and appropriate.</w:t>
      </w:r>
    </w:p>
    <w:p>
      <w:pPr>
        <w:pStyle w:val="Heading1"/>
      </w:pPr>
      <w:r>
        <w:t>4. Acceptable use</w:t>
      </w:r>
    </w:p>
    <w:p>
      <w:pPr>
        <w:spacing w:before="0" w:after="160" w:line="280" w:lineRule="auto"/>
        <w:numPr>
          <w:ilvl w:val="0"/>
          <w:numId w:val="10"/>
        </w:numPr>
      </w:pPr>
      <w:r>
        <w:rPr>
          <w:rFonts w:ascii="Calibri" w:hAnsi="Calibri"/>
        </w:rPr>
        <w:t>Use the website lawfully and do not interfere with its operation, security or availability.</w:t>
      </w:r>
    </w:p>
    <w:p>
      <w:pPr>
        <w:spacing w:before="0" w:after="160" w:line="280" w:lineRule="auto"/>
        <w:numPr>
          <w:ilvl w:val="0"/>
          <w:numId w:val="10"/>
        </w:numPr>
      </w:pPr>
      <w:r>
        <w:rPr>
          <w:rFonts w:ascii="Calibri" w:hAnsi="Calibri"/>
        </w:rPr>
        <w:t>Do not attempt unauthorised access, introduce malicious code, scrape at a harmful rate, impersonate another person or submit false or unlawful content.</w:t>
      </w:r>
    </w:p>
    <w:p>
      <w:pPr>
        <w:spacing w:before="0" w:after="160" w:line="280" w:lineRule="auto"/>
        <w:numPr>
          <w:ilvl w:val="0"/>
          <w:numId w:val="10"/>
        </w:numPr>
      </w:pPr>
      <w:r>
        <w:rPr>
          <w:rFonts w:ascii="Calibri" w:hAnsi="Calibri"/>
        </w:rPr>
        <w:t>Do not use website content to misrepresent Heutrix, provide regulated advice or imply endorsement, partnership or assurance that Heutrix has not given in writing.</w:t>
      </w:r>
    </w:p>
    <w:p>
      <w:pPr>
        <w:spacing w:before="0" w:after="160" w:line="280" w:lineRule="auto"/>
        <w:numPr>
          <w:ilvl w:val="0"/>
          <w:numId w:val="10"/>
        </w:numPr>
      </w:pPr>
      <w:r>
        <w:rPr>
          <w:rFonts w:ascii="Calibri" w:hAnsi="Calibri"/>
        </w:rPr>
        <w:t>Do not reproduce substantial content commercially except as permitted by law or written permission.</w:t>
      </w:r>
    </w:p>
    <w:p>
      <w:pPr>
        <w:pStyle w:val="Heading1"/>
      </w:pPr>
      <w:r>
        <w:t>5. Intellectual property</w:t>
      </w:r>
    </w:p>
    <w:p>
      <w:r>
        <w:rPr>
          <w:rFonts w:ascii="Calibri" w:hAnsi="Calibri"/>
          <w:i w:val="0"/>
        </w:rPr>
        <w:t>Heutrix or its licensors own the website and its content, branding, methods, graphics and downloadable materials, excluding third-party content. Heutrix grants a limited, revocable, non-exclusive licence to view the website and use a download for the personal or internal business purpose stated with it. No ownership transfers.</w:t>
      </w:r>
    </w:p>
    <w:p>
      <w:pPr>
        <w:pStyle w:val="Heading1"/>
      </w:pPr>
      <w:r>
        <w:t>6. Links and third-party services</w:t>
      </w:r>
    </w:p>
    <w:p>
      <w:r>
        <w:rPr>
          <w:rFonts w:ascii="Calibri" w:hAnsi="Calibri"/>
          <w:i w:val="0"/>
        </w:rPr>
        <w:t>The website may link to booking, form, cloud, social or other third-party services. Those services are controlled by their providers and may have separate terms and privacy practices. A link does not mean Heutrix endorses every statement, security control or service of the third party.</w:t>
      </w:r>
    </w:p>
    <w:p>
      <w:pPr>
        <w:pStyle w:val="Heading1"/>
      </w:pPr>
      <w:r>
        <w:t>7. Availability and content changes</w:t>
      </w:r>
    </w:p>
    <w:p>
      <w:r>
        <w:rPr>
          <w:rFonts w:ascii="Calibri" w:hAnsi="Calibri"/>
          <w:i w:val="0"/>
        </w:rPr>
        <w:t>Heutrix may update content and website features. It does not promise uninterrupted or error-free availability. Heutrix will not retrospectively change a signed client contract through a website update.</w:t>
      </w:r>
    </w:p>
    <w:p>
      <w:pPr>
        <w:pStyle w:val="Heading1"/>
      </w:pPr>
      <w:r>
        <w:t>8. Privacy, cookies and marketing</w:t>
      </w:r>
    </w:p>
    <w:p>
      <w:r>
        <w:rPr>
          <w:rFonts w:ascii="Calibri" w:hAnsi="Calibri"/>
          <w:i w:val="0"/>
        </w:rPr>
        <w:t>The Heutrix Privacy Policy and relevant collection notice explain personal-information handling. Cookie and analytics choices must reflect the live configuration. Commercial electronic messages are sent only in accordance with consent and unsubscribe requirements.</w:t>
      </w:r>
    </w:p>
    <w:p>
      <w:pPr>
        <w:pStyle w:val="Heading1"/>
      </w:pPr>
      <w:r>
        <w:t>9. Australian Consumer Law and liability</w:t>
      </w:r>
    </w:p>
    <w:p>
      <w:r>
        <w:rPr>
          <w:rFonts w:ascii="Calibri" w:hAnsi="Calibri"/>
          <w:i w:val="0"/>
        </w:rPr>
        <w:t>Nothing in these terms excludes a right, guarantee or remedy that cannot lawfully be excluded. To the extent permitted by law, Heutrix is not liable for loss caused solely by reliance on general website information instead of obtaining advice or a signed project scope, or for third-party services outside Heutrix's reasonable control.</w:t>
      </w:r>
    </w:p>
    <w:p>
      <w:r>
        <w:rPr>
          <w:rFonts w:ascii="Calibri" w:hAnsi="Calibri"/>
          <w:i w:val="0"/>
        </w:rPr>
        <w:t>Where Heutrix is liable in connection with free website content and the law permits a limitation, liability is limited to the reasonable cost of supplying the relevant content or access again. This limitation does not apply where it would be unfair, unreasonable or unlawful.</w:t>
      </w:r>
    </w:p>
    <w:p>
      <w:pPr>
        <w:pStyle w:val="Heading1"/>
      </w:pPr>
      <w:r>
        <w:t>10. Governing law and contact</w:t>
      </w:r>
    </w:p>
    <w:p>
      <w:r>
        <w:rPr>
          <w:rFonts w:ascii="Calibri" w:hAnsi="Calibri"/>
          <w:i w:val="0"/>
        </w:rPr>
        <w:t>These terms are governed by the laws of Victoria, Australia. Use the website contact method for questions and clearly label legal or privacy enquiries.</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17E"/>
        <w:sz w:val="17"/>
      </w:rPr>
      <w:t xml:space="preserve">Heutrix Pty Ltd  |  v1.0  |  </w:t>
    </w:r>
    <w:r>
      <w:rPr>
        <w:rFonts w:ascii="Calibri" w:hAnsi="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17E"/>
        <w:sz w:val="17"/>
      </w:rPr>
      <w:t>HEUTRIX  |  Website Terms of Use</w:t>
    </w:r>
    <w:r>
      <w:rPr>
        <w:rFonts w:ascii="Calibri" w:hAnsi="Calibri"/>
        <w:b/>
        <w:color w:val="66717E"/>
        <w:sz w:val="17"/>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Terms of Use</dc:title>
  <dc:subject>Heutrix client legal pack</dc:subject>
  <dc:creator/>
  <cp:keywords/>
  <dc:description>Prepared for solicitor review and client use.</dc:description>
  <cp:lastModifiedBy/>
  <cp:revision>1</cp:revision>
  <dcterms:created xsi:type="dcterms:W3CDTF">2013-12-23T23:15:00Z</dcterms:created>
  <dcterms:modified xsi:type="dcterms:W3CDTF">2013-12-23T23:15:00Z</dcterms:modified>
  <cp:category/>
</cp:coreProperties>
</file>