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14:paraId="00000002">
      <w:pPr>
        <w:jc w:val="center"/>
        <w:rPr>
          <w:rFonts w:ascii="Garamond" w:cs="Garamond" w:eastAsia="Garamond" w:hAnsi="Garamond"/>
          <w:b w:val="1"/>
          <w:bCs w:val="1"/>
          <w:sz w:val="48"/>
          <w:szCs w:val="48"/>
        </w:rPr>
      </w:pPr>
      <w:r>
        <w:rPr>
          <w:rFonts w:ascii="Garamond" w:cs="Garamond" w:eastAsia="Garamond" w:hAnsi="Garamond"/>
          <w:b w:val="1"/>
          <w:bCs w:val="1"/>
          <w:sz w:val="48"/>
          <w:szCs w:val="48"/>
          <w:rtl w:val="0"/>
        </w:rPr>
        <w:t xml:space="preserve">Heutrix launch readiness</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pPr>
      <w:r>
        <w:rPr>
          <w:rFonts w:ascii="Garamond" w:cs="Garamond" w:eastAsia="Garamond" w:hAnsi="Garamond"/>
          <w:b w:val="1"/>
          <w:bCs w:val="1"/>
          <w:rtl w:val="0"/>
        </w:rPr>
        <w:t xml:space="preserve">To:	Heutrix founders and legal reviewer</w:t>
      </w:r>
      <w:r>
        <w:rPr>
          <w:rFonts w:ascii="Garamond" w:cs="Garamond" w:eastAsia="Garamond" w:hAnsi="Garamond"/>
          <w:rtl w:val="0"/>
        </w:rPr>
        <w:t xml:space="preserve"/>
        <w:tab/>
        <w:t xml:space="preserve"/>
      </w:r>
    </w:p>
    <w:p w14:paraId="00000005">
      <w:pPr>
        <w:ind w:firstLine="720"/>
        <w:jc w:val="both"/>
        <w:rPr>
          <w:rFonts w:ascii="Garamond" w:cs="Garamond" w:eastAsia="Garamond" w:hAnsi="Garamond"/>
        </w:rPr>
      </w:pPr>
      <w:r>
        <w:rPr>
          <w:rFonts w:ascii="Garamond" w:cs="Garamond" w:eastAsia="Garamond" w:hAnsi="Garamond"/>
          <w:rtl w:val="0"/>
        </w:rPr>
        <w:t xml:space="preserve"/>
      </w:r>
    </w:p>
    <w:p w14:paraId="00000006">
      <w:pPr>
        <w:jc w:val="both"/>
        <w:rPr>
          <w:rFonts w:ascii="Garamond" w:cs="Garamond" w:eastAsia="Garamond" w:hAnsi="Garamond"/>
        </w:rPr>
      </w:pPr>
      <w:r>
        <w:rPr>
          <w:rFonts w:ascii="Garamond" w:cs="Garamond" w:eastAsia="Garamond" w:hAnsi="Garamond"/>
          <w:b w:val="1"/>
          <w:bCs w:val="1"/>
          <w:rtl w:val="0"/>
        </w:rPr>
        <w:t xml:space="preserve">From:	Heutrix launch preparation</w:t>
      </w:r>
      <w:r>
        <w:rPr>
          <w:rFonts w:ascii="Garamond" w:cs="Garamond" w:eastAsia="Garamond" w:hAnsi="Garamond"/>
          <w:rtl w:val="0"/>
        </w:rPr>
        <w:t xml:space="preserve"/>
        <w:tab/>
        <w:t xml:space="preserve"/>
      </w:r>
    </w:p>
    <w:p w14:paraId="00000007">
      <w:pPr>
        <w:jc w:val="both"/>
        <w:rPr>
          <w:rFonts w:ascii="Garamond" w:cs="Garamond" w:eastAsia="Garamond" w:hAnsi="Garamond"/>
        </w:rPr>
      </w:pPr>
      <w:r>
        <w:rPr>
          <w:rFonts w:ascii="Garamond" w:cs="Garamond" w:eastAsia="Garamond" w:hAnsi="Garamond"/>
          <w:b w:val="1"/>
          <w:bCs w:val="1"/>
          <w:rtl w:val="0"/>
        </w:rPr>
        <w:t xml:space="preserve">Date:	13 September 2026</w:t>
      </w:r>
      <w:r>
        <w:rPr>
          <w:rFonts w:ascii="Garamond" w:cs="Garamond" w:eastAsia="Garamond" w:hAnsi="Garamond"/>
          <w:rtl w:val="0"/>
        </w:rPr>
        <w:t xml:space="preserve"/>
        <w:tab/>
        <w:t xml:space="preserve"/>
      </w:r>
    </w:p>
    <w:p w14:paraId="00000008">
      <w:pPr>
        <w:pBdr>
          <w:bottom w:color="000000" w:space="1" w:sz="6" w:val="single"/>
        </w:pBdr>
        <w:jc w:val="both"/>
        <w:rPr>
          <w:rFonts w:ascii="Garamond" w:cs="Garamond" w:eastAsia="Garamond" w:hAnsi="Garamond"/>
        </w:rPr>
      </w:pPr>
      <w:r>
        <w:rPr>
          <w:rFonts w:ascii="Garamond" w:cs="Garamond" w:eastAsia="Garamond" w:hAnsi="Garamond"/>
          <w:b w:val="1"/>
          <w:bCs w:val="1"/>
          <w:rtl w:val="0"/>
        </w:rPr>
        <w:t xml:space="preserve">Re:	Legal pack and operating guidance for 14 September</w:t>
      </w:r>
      <w:r>
        <w:rPr>
          <w:rFonts w:ascii="Garamond" w:cs="Garamond" w:eastAsia="Garamond" w:hAnsi="Garamond"/>
          <w:rtl w:val="0"/>
        </w:rPr>
        <w:t xml:space="preserve"/>
        <w:tab/>
        <w:t xml:space="preserve"/>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14:paraId="0000000B">
      <w:pPr>
        <w:jc w:val="center"/>
        <w:rPr>
          <w:rFonts w:ascii="Garamond" w:cs="Garamond" w:eastAsia="Garamond" w:hAnsi="Garamond"/>
          <w:b w:val="1"/>
          <w:bCs w:val="1"/>
          <w:u w:val="single"/>
        </w:rPr>
      </w:pPr>
      <w:r>
        <w:rPr>
          <w:rFonts w:ascii="Garamond" w:cs="Garamond" w:eastAsia="Garamond" w:hAnsi="Garamond"/>
          <w:b w:val="1"/>
          <w:bCs w:val="1"/>
          <w:u w:val="single"/>
          <w:rtl w:val="0"/>
        </w:rPr>
        <w:t xml:space="preserve">Background</w:t>
      </w:r>
    </w:p>
    <w:p w14:paraId="0000000C">
      <w:pPr>
        <w:spacing w:line="360" w:lineRule="auto"/>
        <w:jc w:val="both"/>
        <w:rPr>
          <w:rFonts w:ascii="Garamond" w:cs="Garamond" w:eastAsia="Garamond" w:hAnsi="Garamond"/>
        </w:rPr>
      </w:pPr>
      <w:r>
        <w:rPr>
          <w:rFonts w:ascii="Garamond" w:cs="Garamond" w:eastAsia="Garamond" w:hAnsi="Garamond"/>
          <w:rtl w:val="0"/>
        </w:rPr>
        <w:tab/>
        <w:t xml:space="preserve">	The public website privacy policy and terms are approved and published. The client legal pack has been reconciled as version 2.2 for review. It cannot yet be issued for signature: formal notice email/execution, commercial, insurance, data and legal approvals remain open. This memo records preparation status, not legal advice or approval.</w:t>
      </w:r>
    </w:p>
    <w:p w14:paraId="0000000D">
      <w:pPr>
        <w:spacing w:line="360" w:lineRule="auto"/>
        <w:jc w:val="both"/>
        <w:rPr>
          <w:rFonts w:ascii="Garamond" w:cs="Garamond" w:eastAsia="Garamond" w:hAnsi="Garamond"/>
        </w:rPr>
      </w:pPr>
      <w:r>
        <w:rPr>
          <w:rFonts w:ascii="Garamond" w:cs="Garamond" w:eastAsia="Garamond" w:hAnsi="Garamond"/>
          <w:rtl w:val="0"/>
        </w:rPr>
        <w:tab/>
        <w:t xml:space="preserve">	Heutrix Pty Ltd is the documented entity, ABN 64 702 109 662 and ACN 702 109 662. The verified 8 September record states GST non-registration and VIC 3978. The owner has supplied 4 Ellaroo Ct, Clyde North VIC 3978, Australia as business and notices address, and confirmed Janith Dharmasinghe and Sachin Wickramasuriya, Directors, as authorised signatories. Formal notice email and execution method remain to be settled. Recheck changeable particulars before issue.</w:t>
      </w:r>
    </w:p>
    <w:p w14:paraId="0000000E">
      <w:pPr>
        <w:spacing w:line="360" w:lineRule="auto"/>
        <w:ind w:firstLine="720"/>
        <w:jc w:val="both"/>
        <w:rPr>
          <w:rFonts w:ascii="Garamond" w:cs="Garamond" w:eastAsia="Garamond" w:hAnsi="Garamond"/>
        </w:rPr>
      </w:pPr>
      <w:r>
        <w:rPr>
          <w:rFonts w:ascii="Garamond" w:cs="Garamond" w:eastAsia="Garamond" w:hAnsi="Garamond"/>
          <w:rtl w:val="0"/>
        </w:rPr>
        <w:t xml:space="preserve">The controlled sources for this package are:</w:t>
      </w:r>
    </w:p>
    <w:p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legal review register and website PR 16 approval record;</w:t>
      </w:r>
    </w:p>
    <w:p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registration, pricing, approved-systems and delivery records; and</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current three-product offer and owner-validation records.</w:t>
      </w:r>
      <w:r>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w:r>
      <w:r>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r>
    </w:p>
    <w:p w14:paraId="00000012">
      <w:pPr>
        <w:spacing w:line="360" w:lineRule="auto"/>
        <w:jc w:val="both"/>
        <w:rPr>
          <w:rFonts w:ascii="Garamond" w:cs="Garamond" w:eastAsia="Garamond" w:hAnsi="Garamond"/>
        </w:rPr>
      </w:pPr>
      <w:r>
        <w:rPr>
          <w:rFonts w:ascii="Garamond" w:cs="Garamond" w:eastAsia="Garamond" w:hAnsi="Garamond"/>
          <w:rtl w:val="0"/>
        </w:rPr>
        <w:tab/>
        <w:t xml:space="preserve">	Use Heutrix Diagnostics for standalone paid investigation, Heutrix Workflow Transformation for a bounded implementation, and Heutrix AI Guardrails for a scoped governance engagement. Direct entry is permitted when prerequisites are satisfied. No compulsory Diagnostics purchase, automatic fee credit or public pricing is introduced.</w:t>
      </w:r>
    </w:p>
    <w:p w14:paraId="00000013">
      <w:pPr>
        <w:spacing w:line="360" w:lineRule="auto"/>
        <w:ind w:firstLine="720"/>
        <w:jc w:val="both"/>
        <w:rPr>
          <w:rFonts w:ascii="Garamond" w:cs="Garamond" w:eastAsia="Garamond" w:hAnsi="Garamond"/>
        </w:rPr>
      </w:pPr>
      <w:r>
        <w:rPr>
          <w:rFonts w:ascii="Garamond" w:cs="Garamond" w:eastAsia="Garamond" w:hAnsi="Garamond"/>
          <w:rtl w:val="0"/>
        </w:rPr>
        <w:t xml:space="preserve">The former pack contains retired service names, the unapproved AUD 950 Diagnostics fee, fixed scope/timing assumptions and unverified deletion commitments. The v2 review masters replace those defaults with explicit approval fields and retain the current Transformation handover and 30-day in-scope defect position.</w:t>
      </w:r>
    </w:p>
    <w:p w14:paraId="00000014">
      <w:pPr>
        <w:spacing w:line="360" w:lineRule="auto"/>
        <w:ind w:firstLine="720"/>
        <w:jc w:val="both"/>
        <w:rPr>
          <w:rFonts w:ascii="Garamond" w:cs="Garamond" w:eastAsia="Garamond" w:hAnsi="Garamond"/>
        </w:rPr>
      </w:pPr>
      <w:r>
        <w:rPr>
          <w:rFonts w:ascii="Garamond" w:cs="Garamond" w:eastAsia="Garamond" w:hAnsi="Garamond"/>
          <w:rtl w:val="0"/>
        </w:rPr>
        <w:t xml:space="preserve">	The website approval is separate. The owner approved its privacy policy and terms on 12 September, waived independent review for that website launch and published them on 13 September. Shashane is the enquiry handler, Rochelle the backup. The waiver does not release client contracts. Document 07 identifies the approved public versions.</w:t>
      </w:r>
    </w:p>
    <w:p w14:paraId="00000015">
      <w:pPr>
        <w:spacing w:line="360" w:lineRule="auto"/>
        <w:jc w:val="both"/>
        <w:rPr>
          <w:rFonts w:ascii="Garamond" w:cs="Garamond" w:eastAsia="Garamond" w:hAnsi="Garamond"/>
        </w:rPr>
      </w:pPr>
      <w:r>
        <w:rPr>
          <w:rFonts w:ascii="Garamond" w:cs="Garamond" w:eastAsia="Garamond" w:hAnsi="Garamond"/>
          <w:rtl w:val="0"/>
        </w:rPr>
        <w:tab/>
        <w:t xml:space="preserve">	The former v1 native files and ZIP remain unchanged historical drafts. This package is a separate review revision. Do not issue either review ZIP to a client as a contract or edit a signed client copy informally.</w:t>
      </w:r>
    </w:p>
    <w:p w14:paraId="00000016">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Analysis</w:t>
      </w:r>
    </w:p>
    <w:p w14:paraId="00000017">
      <w:pPr>
        <w:spacing w:line="360" w:lineRule="auto"/>
        <w:ind w:firstLine="720"/>
        <w:jc w:val="both"/>
        <w:rPr>
          <w:rFonts w:ascii="Garamond" w:cs="Garamond" w:eastAsia="Garamond" w:hAnsi="Garamond"/>
        </w:rPr>
      </w:pPr>
      <w:r>
        <w:rPr>
          <w:rFonts w:ascii="Garamond" w:cs="Garamond" w:eastAsia="Garamond" w:hAnsi="Garamond"/>
          <w:rtl w:val="0"/>
        </w:rPr>
        <w:t xml:space="preserve">The document-use matrix in README identifies the forms and release gates. The operating procedures are in document 08; the single approval worksheet is document 09.</w:t>
      </w:r>
    </w:p>
    <w:p w14:paraId="00000018">
      <w:pPr>
        <w:spacing w:line="240" w:lineRule="auto"/>
        <w:jc w:val="both"/>
        <w:rPr>
          <w:rFonts w:ascii="Garamond" w:cs="Garamond" w:eastAsia="Garamond" w:hAnsi="Garamond"/>
        </w:rPr>
      </w:pPr>
      <w:r>
        <w:rPr>
          <w:rFonts w:ascii="Garamond" w:cs="Garamond" w:eastAsia="Garamond" w:hAnsi="Garamond"/>
          <w:rtl w:val="0"/>
        </w:rPr>
        <w:t xml:space="preserve">Every paid project uses the approved Client Services Agreement plus a completed, signed Diagnostics Order Form or Statement of Work. Data access uses form A; AI uses form B; changes use form C; acceptance uses form D; handover and access closure use form E. Forms F and G support privacy requests and incidents.</w:t>
      </w:r>
      <w:r>
        <w:rPr>
          <w:rFonts w:ascii="Garamond" w:cs="Garamond" w:eastAsia="Garamond" w:hAnsi="Garamond"/>
          <w:b w:val="1"/>
          <w:bCs w:val="1"/>
          <w:rtl w:val="0"/>
        </w:rPr>
        <w:t xml:space="preserve"/>
      </w:r>
      <w:r>
        <w:rPr>
          <w:rFonts w:ascii="Garamond" w:cs="Garamond" w:eastAsia="Garamond" w:hAnsi="Garamond"/>
          <w:rtl w:val="0"/>
        </w:rPr>
        <w:t xml:space="preserve"/>
      </w:r>
      <w:r>
        <w:rPr>
          <w:rFonts w:ascii="Garamond" w:cs="Garamond" w:eastAsia="Garamond" w:hAnsi="Garamond"/>
          <w:b w:val="1"/>
          <w:bCs w:val="1"/>
          <w:u w:val="single"/>
          <w:rtl w:val="0"/>
        </w:rPr>
        <w:t xml:space="preserve"/>
      </w:r>
      <w:r>
        <w:rPr>
          <w:rFonts w:ascii="Garamond" w:cs="Garamond" w:eastAsia="Garamond" w:hAnsi="Garamond"/>
          <w:rtl w:val="0"/>
        </w:rPr>
        <w:t xml:space="preserve"/>
      </w:r>
    </w:p>
    <w:p w14:paraId="00000019">
      <w:pPr>
        <w:spacing w:line="360" w:lineRule="auto"/>
        <w:jc w:val="both"/>
        <w:rPr>
          <w:rFonts w:ascii="Garamond" w:cs="Garamond" w:eastAsia="Garamond" w:hAnsi="Garamond"/>
        </w:rPr>
      </w:pPr>
      <w:r>
        <w:rPr>
          <w:rFonts w:ascii="Garamond" w:cs="Garamond" w:eastAsia="Garamond" w:hAnsi="Garamond"/>
          <w:rtl w:val="0"/>
        </w:rPr>
        <w:tab/>
        <w:t xml:space="preserve">	The proposed revisions require explicit acceptance and a selected IP model. Liability caps, payment periods, confidentiality periods and other commercial choices remain marked for decision. These are drafting proposals until Australian legal review and owner approval are recorded for the exact versions.</w:t>
      </w:r>
    </w:p>
    <w:p w14:paraId="0000001A">
      <w:pPr>
        <w:spacing w:line="360" w:lineRule="auto"/>
        <w:jc w:val="both"/>
        <w:rPr>
          <w:rFonts w:ascii="Garamond" w:cs="Garamond" w:eastAsia="Garamond" w:hAnsi="Garamond"/>
        </w:rPr>
      </w:pPr>
      <w:r>
        <w:rPr>
          <w:rFonts w:ascii="Garamond" w:cs="Garamond" w:eastAsia="Garamond" w:hAnsi="Garamond"/>
          <w:rtl w:val="0"/>
        </w:rPr>
        <w:tab/>
        <w:t xml:space="preserve">	The SOPs cover launch checks, enquiries, unsolicited sensitive information, issue/signing, data and suppliers, AI, changes and defects, closeout, incidents, privacy requests and marketing permissions. They keep live client records outside Git and distinguish the existing enquiry pathway from unapproved client systems.</w:t>
      </w:r>
    </w:p>
    <w:p w14:paraId="0000001B">
      <w:pPr>
        <w:spacing w:line="360" w:lineRule="auto"/>
        <w:ind w:firstLine="720"/>
        <w:jc w:val="both"/>
        <w:rPr>
          <w:rFonts w:ascii="Garamond" w:cs="Garamond" w:eastAsia="Garamond" w:hAnsi="Garamond"/>
        </w:rPr>
      </w:pPr>
      <w:r>
        <w:rPr>
          <w:rFonts w:ascii="Garamond" w:cs="Garamond" w:eastAsia="Garamond" w:hAnsi="Garamond"/>
          <w:rtl w:val="0"/>
        </w:rPr>
        <w:t xml:space="preserve">The Australian source review identifies consumer-guarantee and unfair-contract-term issues, federal privacy applicability, Victorian health-information handling, breach assessment and spam consent. These are review topics, not certifications of compliance. Document 09 supplies the primary source links and the questions for the legal adviser.</w:t>
      </w:r>
    </w:p>
    <w:p w14:paraId="0000001C">
      <w:pPr>
        <w:spacing w:line="360" w:lineRule="auto"/>
        <w:ind w:firstLine="720"/>
        <w:jc w:val="both"/>
        <w:rPr>
          <w:rFonts w:ascii="Garamond" w:cs="Garamond" w:eastAsia="Garamond" w:hAnsi="Garamond"/>
        </w:rPr>
      </w:pPr>
      <w:r>
        <w:rPr>
          <w:rFonts w:ascii="Garamond" w:cs="Garamond" w:eastAsia="Garamond" w:hAnsi="Garamond"/>
          <w:rtl w:val="0"/>
        </w:rPr>
        <w:t xml:space="preserve">	Monday enquiries can follow the already approved website route and current information boundaries. Paid onboarding waits for the relevant approvals, signed scope and terms, payment/start conditions, insurance and safe data/access arrangements. A deadline, successful export or owner instruction to prepare a pack does not prove those conditions have been met.</w:t>
      </w:r>
    </w:p>
    <w:p w14:paraId="0000001D">
      <w:pPr>
        <w:spacing w:line="360" w:lineRule="auto"/>
        <w:jc w:val="center"/>
        <w:rPr>
          <w:rFonts w:ascii="Garamond" w:cs="Garamond" w:eastAsia="Garamond" w:hAnsi="Garamond"/>
          <w:b w:val="1"/>
          <w:bCs w:val="1"/>
          <w:u w:val="single"/>
        </w:rPr>
      </w:pPr>
      <w:r>
        <w:rPr>
          <w:rFonts w:ascii="Garamond" w:cs="Garamond" w:eastAsia="Garamond" w:hAnsi="Garamond"/>
          <w:b w:val="1"/>
          <w:bCs w:val="1"/>
          <w:u w:val="single"/>
          <w:rtl w:val="0"/>
        </w:rPr>
        <w:t xml:space="preserve">Conclusion</w:t>
      </w:r>
    </w:p>
    <w:p w14:paraId="0000001E">
      <w:pPr>
        <w:spacing w:line="360" w:lineRule="auto"/>
        <w:ind w:firstLine="720"/>
        <w:jc w:val="both"/>
        <w:rPr>
          <w:rFonts w:ascii="Garamond" w:cs="Garamond" w:eastAsia="Garamond" w:hAnsi="Garamond"/>
        </w:rPr>
      </w:pPr>
      <w:r>
        <w:rPr>
          <w:rFonts w:ascii="Garamond" w:cs="Garamond" w:eastAsia="Garamond" w:hAnsi="Garamond"/>
          <w:rtl w:val="0"/>
        </w:rPr>
        <w:t xml:space="preserve">The address and authorised directors are now populated from the owner decision. Complete document 09 with the formal notice email and execution method; insurance and commercial decisions explicitly remain </w:t>
      </w:r>
      <w:r>
        <w:rPr>
          <w:rFonts w:ascii="Garamond" w:cs="Garamond" w:eastAsia="Garamond" w:hAnsi="Garamond"/>
          <w:rtl w:val="0"/>
          <w:highlight w:val="yellow"/>
        </w:rPr>
        <w:t xml:space="preserve">pending</w:t>
      </w:r>
      <w:r>
        <w:rPr>
          <w:rFonts w:ascii="Garamond" w:cs="Garamond" w:eastAsia="Garamond" w:hAnsi="Garamond"/>
          <w:rtl w:val="0"/>
        </w:rPr>
        <w:t xml:space="preserve">. Resolve delivery rules, client-system/data approvals and legal review. Record affected-user and owner approval, effective date and exact versions in the legal review register. Then regenerate and check a separate approved issue bundle. Until that decision, use this pack for internal preparation and review only.</w:t>
      </w:r>
    </w:p>
    <w:p w14:paraId="0000001F">
      <w:pPr>
        <w:spacing w:line="360" w:lineRule="auto"/>
        <w:rPr/>
      </w:pPr>
      <w:r>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drawing>
        <wp:inlin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rFonts w:ascii="Arial" w:cs="Arial" w:eastAsia="Arial" w:hAnsi="Arial"/>
        <w:color w:val="b7b7b7"/>
        <w:sz w:val="18"/>
        <w:szCs w:val="18"/>
        <w:rtl w:val="0"/>
      </w:rPr>
      <w:t xml:space="preserve">INTERNAL REVIEW DRAFT</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