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CLIENT AND PROJECT CONTROLS</w:t>
      </w:r>
    </w:p>
    <w:p>
      <w:pPr>
        <w:pStyle w:val="Title"/>
        <w:spacing w:before="0" w:after="120"/>
      </w:pPr>
      <w:r>
        <w:rPr>
          <w:rFonts w:ascii="Calibri" w:hAnsi="Calibri"/>
          <w:b/>
          <w:color w:val="000000"/>
          <w:sz w:val="56"/>
          <w:u w:val="none"/>
        </w:rPr>
        <w:t>Project Control Forms</w:t>
      </w:r>
    </w:p>
    <w:p>
      <w:pPr>
        <w:spacing w:before="0" w:after="320"/>
      </w:pPr>
      <w:r>
        <w:rPr>
          <w:rFonts w:ascii="Calibri" w:hAnsi="Calibri"/>
          <w:color w:val="000000"/>
          <w:sz w:val="26"/>
        </w:rPr>
        <w:t>Access, AI approval, change control, acceptance and secure handover</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2.2 review draft | 13 September 2026</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Use with</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Client Services Agreement and signed SOW</w:t>
            </w:r>
          </w:p>
        </w:tc>
      </w:tr>
    </w:tbl>
    <w:p>
      <w:pPr/>
      <w:r>
        <w:t>REVIEW DRAFT. Complete document 09 approvals and every required field before client issue. No legal review, business approval or effective date is recorded by this file. Keep completed client copies outside this repository.</w:t>
      </w:r>
    </w:p>
    <w:p>
      <w:pPr>
        <w:spacing w:after="20"/>
      </w:pPr>
    </w:p>
    <w:p>
      <w:pPr>
        <w:spacing w:before="0" w:after="0"/>
      </w:pPr>
      <w:r>
        <w:rPr>
          <w:rFonts w:ascii="Calibri" w:hAnsi="Calibri"/>
          <w:b/>
          <w:color w:val="17324D"/>
          <w:sz w:val="20"/>
        </w:rPr>
        <w:t xml:space="preserve">Use: </w:t>
      </w:r>
      <w:r>
        <w:rPr>
          <w:rFonts w:ascii="Calibri" w:hAnsi="Calibri"/>
          <w:color w:val="20262E"/>
          <w:sz w:val="20"/>
        </w:rPr>
        <w:t>Complete the relevant form before the event it controls. A form does not expand the Services unless it is also signed as a Change Request where fees, timing or scope change.</w:t>
      </w:r>
    </w:p>
    <w:p>
      <w:pPr>
        <w:spacing w:after="20"/>
      </w:pPr>
    </w:p>
    <w:p>
      <w:pPr>
        <w:pStyle w:val="Heading1"/>
      </w:pPr>
      <w:r>
        <w:rPr>
          <w:color w:val="000000"/>
          <w:u w:val="none"/>
        </w:rPr>
        <w:t>Forms in this pack</w:t>
      </w:r>
    </w:p>
    <w:p>
      <w:pPr>
        <w:spacing w:before="0" w:after="160" w:line="280" w:lineRule="auto"/>
        <w:numPr>
          <w:ilvl w:val="0"/>
          <w:numId w:val="10"/>
        </w:numPr>
      </w:pPr>
      <w:r>
        <w:rPr>
          <w:rFonts w:ascii="Calibri" w:hAnsi="Calibri"/>
        </w:rPr>
        <w:t>A. Data and System Access Authorisation</w:t>
      </w:r>
    </w:p>
    <w:p>
      <w:pPr>
        <w:spacing w:before="0" w:after="160" w:line="280" w:lineRule="auto"/>
        <w:numPr>
          <w:ilvl w:val="0"/>
          <w:numId w:val="10"/>
        </w:numPr>
      </w:pPr>
      <w:r>
        <w:rPr>
          <w:rFonts w:ascii="Calibri" w:hAnsi="Calibri"/>
        </w:rPr>
        <w:t>B. AI Use Case Approval</w:t>
      </w:r>
    </w:p>
    <w:p>
      <w:pPr>
        <w:spacing w:before="0" w:after="160" w:line="280" w:lineRule="auto"/>
        <w:numPr>
          <w:ilvl w:val="0"/>
          <w:numId w:val="10"/>
        </w:numPr>
      </w:pPr>
      <w:r>
        <w:rPr>
          <w:rFonts w:ascii="Calibri" w:hAnsi="Calibri"/>
        </w:rPr>
        <w:t>C. Change Request</w:t>
      </w:r>
    </w:p>
    <w:p>
      <w:pPr>
        <w:spacing w:before="0" w:after="160" w:line="280" w:lineRule="auto"/>
        <w:numPr>
          <w:ilvl w:val="0"/>
          <w:numId w:val="10"/>
        </w:numPr>
      </w:pPr>
      <w:r>
        <w:rPr>
          <w:rFonts w:ascii="Calibri" w:hAnsi="Calibri"/>
        </w:rPr>
        <w:t>D. Deliverable Review and Acceptance</w:t>
      </w:r>
    </w:p>
    <w:p>
      <w:pPr>
        <w:spacing w:before="0" w:after="160" w:line="280" w:lineRule="auto"/>
        <w:numPr>
          <w:ilvl w:val="0"/>
          <w:numId w:val="10"/>
        </w:numPr>
      </w:pPr>
      <w:r>
        <w:rPr>
          <w:rFonts w:ascii="Calibri" w:hAnsi="Calibri"/>
        </w:rPr>
        <w:t>E. Handover and Access Closure</w:t>
      </w:r>
    </w:p>
    <w:p>
      <w:pPr>
        <w:spacing w:before="0" w:after="160" w:line="280" w:lineRule="auto"/>
        <w:numPr>
          <w:ilvl w:val="0"/>
          <w:numId w:val="10"/>
        </w:numPr>
      </w:pPr>
      <w:r>
        <w:rPr>
          <w:rFonts w:ascii="Calibri" w:hAnsi="Calibri"/>
        </w:rPr>
        <w:t>F. Privacy request and complaint record</w:t>
      </w:r>
    </w:p>
    <w:p>
      <w:pPr>
        <w:spacing w:before="0" w:after="160" w:line="280" w:lineRule="auto"/>
        <w:numPr>
          <w:ilvl w:val="0"/>
          <w:numId w:val="10"/>
        </w:numPr>
      </w:pPr>
      <w:r>
        <w:rPr>
          <w:rFonts w:ascii="Calibri" w:hAnsi="Calibri"/>
        </w:rPr>
        <w:t>G. Incident assessment and response record</w:t>
      </w:r>
    </w:p>
    <w:p>
      <w:r>
        <w:br w:type="page"/>
      </w:r>
    </w:p>
    <w:p>
      <w:pPr>
        <w:spacing w:before="160" w:after="40"/>
      </w:pPr>
      <w:r>
        <w:rPr>
          <w:rFonts w:ascii="Calibri" w:hAnsi="Calibri"/>
          <w:b/>
          <w:color w:val="2E74B5"/>
          <w:sz w:val="18"/>
        </w:rPr>
        <w:t>PROJECT CONTROL FORM | A</w:t>
      </w:r>
    </w:p>
    <w:p>
      <w:pPr>
        <w:spacing w:before="0" w:after="120"/>
      </w:pPr>
      <w:r>
        <w:rPr>
          <w:rFonts w:ascii="Calibri" w:hAnsi="Calibri"/>
          <w:b/>
          <w:color w:val="17324D"/>
          <w:sz w:val="56"/>
        </w:rPr>
        <w:t>Data and System Access Authorisation</w:t>
      </w:r>
    </w:p>
    <w:p>
      <w:pPr>
        <w:spacing w:before="0" w:after="320"/>
      </w:pPr>
      <w:r>
        <w:rPr>
          <w:rFonts w:ascii="Calibri" w:hAnsi="Calibri"/>
          <w:color w:val="66717E"/>
          <w:sz w:val="26"/>
        </w:rPr>
        <w:t>Records the minimum approved access before Heutrix enters a Client system or handles protected data.</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Authorised purpose and scope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Business 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System / tenant / site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Environment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  ] Sandbox  [  ] Test  [  ] Production  [  ] Other: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start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expiry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Heutrix authorised user(s)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level</w:t>
            </w:r>
          </w:p>
        </w:tc>
        <w:tc>
          <w:tcPr>
            <w:tcW w:type="dxa" w:w="6660"/>
            <w:vAlign w:val="center"/>
            <w:tcMar>
              <w:top w:w="100" w:type="dxa"/>
              <w:start w:w="120" w:type="dxa"/>
              <w:bottom w:w="100" w:type="dxa"/>
              <w:end w:w="120" w:type="dxa"/>
            </w:tcMar>
          </w:tcPr>
          <w:p>
            <w:pPr>
              <w:spacing w:before="0" w:after="0" w:line="252" w:lineRule="auto"/>
              <w:jc w:val="left"/>
            </w:pPr>
            <w:r>
              <w:rPr>
                <w:highlight w:val="yellow"/>
              </w:rPr>
              <w:t xml:space="preserve">[Placeholder]</w:t>
            </w:r>
            <w:r>
              <w:t xml:space="preserve"> Select: </w:t>
            </w:r>
            <w:r>
              <w:rPr>
                <w:rFonts w:ascii="Calibri" w:hAnsi="Calibri"/>
                <w:b w:val="0"/>
                <w:color w:val="20262E"/>
                <w:sz w:val="19"/>
              </w:rPr>
              <w:t>[  ] View  [  ] Edit  [  ] Admin  [  ] API / service account</w:t>
            </w:r>
          </w:p>
        </w:tc>
      </w:tr>
    </w:tbl>
    <w:p>
      <w:pPr>
        <w:spacing w:after="20"/>
      </w:pPr>
    </w:p>
    <w:p>
      <w:pPr>
        <w:pStyle w:val="Heading1"/>
      </w:pPr>
      <w:r>
        <w:rPr>
          <w:color w:val="000000"/>
          <w:u w:val="none"/>
        </w:rPr>
        <w:t>Approved data</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Classification</w:t>
            </w:r>
          </w:p>
        </w:tc>
        <w:tc>
          <w:tcPr>
            <w:tcW w:type="dxa" w:w="6660"/>
            <w:vAlign w:val="center"/>
            <w:tcMar>
              <w:top w:w="100" w:type="dxa"/>
              <w:start w:w="120" w:type="dxa"/>
              <w:bottom w:w="100" w:type="dxa"/>
              <w:end w:w="120" w:type="dxa"/>
            </w:tcMar>
          </w:tcPr>
          <w:p>
            <w:pPr>
              <w:spacing w:before="0" w:after="0" w:line="252" w:lineRule="auto"/>
              <w:jc w:val="left"/>
            </w:pPr>
            <w:r>
              <w:rPr>
                <w:highlight w:val="yellow"/>
              </w:rPr>
              <w:t xml:space="preserve">[Placeholder]</w:t>
            </w:r>
            <w:r>
              <w:t xml:space="preserve"> Select: </w:t>
            </w:r>
            <w:r>
              <w:rPr>
                <w:rFonts w:ascii="Calibri" w:hAnsi="Calibri"/>
                <w:b w:val="0"/>
                <w:color w:val="20262E"/>
                <w:sz w:val="19"/>
              </w:rPr>
              <w:t>[  ] Public  [  ] Internal  [  ] Confidential  [  ] Personal  [  ] Sensitive / health</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categories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subjects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Prohibited fields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De-identification / test data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Approximate volume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Controls and authority</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Authentication / MFA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device / location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Download / export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  ] Prohibited  [  ] Approved only as follows: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storage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Subprocessors / countries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Monitoring / logs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Return / deletion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legal authority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Consent / contract / law / other: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privacy notice</w:t>
            </w:r>
          </w:p>
        </w:tc>
        <w:tc>
          <w:tcPr>
            <w:tcW w:type="dxa" w:w="6660"/>
            <w:vAlign w:val="center"/>
            <w:tcMar>
              <w:top w:w="100" w:type="dxa"/>
              <w:start w:w="120" w:type="dxa"/>
              <w:bottom w:w="100" w:type="dxa"/>
              <w:end w:w="120" w:type="dxa"/>
            </w:tcMar>
          </w:tcPr>
          <w:p>
            <w:pPr>
              <w:spacing w:before="0" w:after="0" w:line="252" w:lineRule="auto"/>
              <w:jc w:val="left"/>
            </w:pPr>
            <w:r>
              <w:rPr>
                <w:highlight w:val="yellow"/>
              </w:rPr>
              <w:t xml:space="preserve">[Placeholder]</w:t>
            </w:r>
            <w:r>
              <w:t xml:space="preserve"> Select: </w:t>
            </w:r>
            <w:r>
              <w:rPr>
                <w:rFonts w:ascii="Calibri" w:hAnsi="Calibri"/>
                <w:b w:val="0"/>
                <w:color w:val="20262E"/>
                <w:sz w:val="19"/>
              </w:rPr>
              <w:t>[  ] Confirmed  [  ] Not applicable  [  ] Action required</w:t>
            </w:r>
          </w:p>
        </w:tc>
      </w:tr>
    </w:tbl>
    <w:p>
      <w:pPr>
        <w:spacing w:after="20"/>
      </w:pPr>
    </w:p>
    <w:p>
      <w:r>
        <w:rPr>
          <w:rFonts w:ascii="Calibri" w:hAnsi="Calibri"/>
          <w:i w:val="0"/>
        </w:rPr>
        <w:t>The Client confirms it has authority to grant this access and provide the approved data. Heutrix accepts the access only for the stated purpose and controls. Any expansion requires written approval and, where material, a signed Change Request.</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p>
      <w:r>
        <w:br w:type="page"/>
      </w:r>
    </w:p>
    <w:p>
      <w:pPr>
        <w:spacing w:before="160" w:after="40"/>
      </w:pPr>
      <w:r>
        <w:rPr>
          <w:rFonts w:ascii="Calibri" w:hAnsi="Calibri"/>
          <w:b/>
          <w:color w:val="2E74B5"/>
          <w:sz w:val="18"/>
        </w:rPr>
        <w:t>PROJECT CONTROL FORM | B</w:t>
      </w:r>
    </w:p>
    <w:p>
      <w:pPr>
        <w:spacing w:before="0" w:after="120"/>
      </w:pPr>
      <w:r>
        <w:rPr>
          <w:rFonts w:ascii="Calibri" w:hAnsi="Calibri"/>
          <w:b/>
          <w:color w:val="17324D"/>
          <w:sz w:val="56"/>
        </w:rPr>
        <w:t>AI Use Case Approval</w:t>
      </w:r>
    </w:p>
    <w:p>
      <w:pPr>
        <w:spacing w:before="0" w:after="320"/>
      </w:pPr>
      <w:r>
        <w:rPr>
          <w:rFonts w:ascii="Calibri" w:hAnsi="Calibri"/>
          <w:color w:val="66717E"/>
          <w:sz w:val="26"/>
        </w:rPr>
        <w:t>Approves one tool and one defined use case with accountable human review.</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Use case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Tool / model / 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Account / tenant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Input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Output and audience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Frequency / volume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Data and provider settings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Maximum input class</w:t>
            </w:r>
          </w:p>
        </w:tc>
        <w:tc>
          <w:tcPr>
            <w:tcW w:type="dxa" w:w="6660"/>
            <w:vAlign w:val="center"/>
            <w:tcMar>
              <w:top w:w="100" w:type="dxa"/>
              <w:start w:w="120" w:type="dxa"/>
              <w:bottom w:w="100" w:type="dxa"/>
              <w:end w:w="120" w:type="dxa"/>
            </w:tcMar>
          </w:tcPr>
          <w:p>
            <w:pPr>
              <w:spacing w:before="0" w:after="0" w:line="252" w:lineRule="auto"/>
              <w:jc w:val="left"/>
            </w:pPr>
            <w:r>
              <w:rPr>
                <w:highlight w:val="yellow"/>
              </w:rPr>
              <w:t xml:space="preserve">[Placeholder]</w:t>
            </w:r>
            <w:r>
              <w:t xml:space="preserve"> Select: </w:t>
            </w:r>
            <w:r>
              <w:rPr>
                <w:rFonts w:ascii="Calibri" w:hAnsi="Calibri"/>
                <w:b w:val="0"/>
                <w:color w:val="20262E"/>
                <w:sz w:val="19"/>
              </w:rPr>
              <w:t>[  ] Public  [  ] Internal  [  ] Confidential  [  ] Personal  [  ] Sensitive</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Identifiers removed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  ] Yes  [  ] No - explain: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 training / reuse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  ] Disabled  [  ] Not applicable  [  ] Other: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Retention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Hosting / access countries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Contract / privacy review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Human control and prohibited use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Accountable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Human reviewer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Review checklist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Accuracy / source / context / bias / privacy / professional suitability / other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Final decision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Prohibited reliance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Clinical / care / safeguarding / eligibility / legal / employment / financial / compliance / regulatory</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Escalation trigger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Approval expiry / review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r>
        <w:t>A classification option cannot override a data prohibition. Attach form A where required; approve provider/retention/region changes before use.</w:t>
      </w:r>
    </w:p>
    <w:p>
      <w:pPr>
        <w:spacing w:before="0" w:after="0"/>
      </w:pPr>
      <w:r>
        <w:rPr>
          <w:rFonts w:ascii="Calibri" w:hAnsi="Calibri"/>
          <w:b/>
          <w:color w:val="17324D"/>
          <w:sz w:val="20"/>
        </w:rPr>
        <w:t xml:space="preserve">Approval condition: </w:t>
      </w:r>
      <w:r>
        <w:rPr>
          <w:rFonts w:ascii="Calibri" w:hAnsi="Calibri"/>
          <w:color w:val="20262E"/>
          <w:sz w:val="20"/>
        </w:rPr>
        <w:t>AI output is a draft. Approval does not transfer professional, clinical, privacy, compliance or management responsibility to the tool.</w:t>
      </w:r>
    </w:p>
    <w:p>
      <w:pPr>
        <w:spacing w:after="20"/>
      </w:pP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p>
      <w:r>
        <w:br w:type="page"/>
      </w:r>
    </w:p>
    <w:p>
      <w:pPr>
        <w:spacing w:before="160" w:after="40"/>
      </w:pPr>
      <w:r>
        <w:rPr>
          <w:rFonts w:ascii="Calibri" w:hAnsi="Calibri"/>
          <w:b/>
          <w:color w:val="2E74B5"/>
          <w:sz w:val="18"/>
        </w:rPr>
        <w:t>PROJECT CONTROL FORM | C</w:t>
      </w:r>
    </w:p>
    <w:p>
      <w:pPr>
        <w:spacing w:before="0" w:after="120"/>
      </w:pPr>
      <w:r>
        <w:rPr>
          <w:rFonts w:ascii="Calibri" w:hAnsi="Calibri"/>
          <w:b/>
          <w:color w:val="17324D"/>
          <w:sz w:val="56"/>
        </w:rPr>
        <w:t>Change Request</w:t>
      </w:r>
    </w:p>
    <w:p>
      <w:pPr>
        <w:spacing w:before="0" w:after="320"/>
      </w:pPr>
      <w:r>
        <w:rPr>
          <w:rFonts w:ascii="Calibri" w:hAnsi="Calibri"/>
          <w:color w:val="66717E"/>
          <w:sz w:val="26"/>
        </w:rPr>
        <w:t>Records the agreed effect of a project change before work proceeds.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Change number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Requested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Reason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Description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Impact assessment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Scope / deliverables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Acceptance criteria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Schedule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Old: </w:t>
            </w:r>
            <w:r>
              <w:rPr>
                <w:rFonts w:ascii="Calibri" w:hAnsi="Calibri"/>
                <w:b w:val="0"/>
                <w:color w:val="20262E"/>
                <w:sz w:val="19"/>
                <w:highlight w:val="yellow"/>
              </w:rPr>
              <w:t xml:space="preserve">[Placeholder]</w:t>
            </w:r>
            <w:r>
              <w:rPr>
                <w:rFonts w:ascii="Calibri" w:hAnsi="Calibri"/>
                <w:b w:val="0"/>
                <w:color w:val="20262E"/>
                <w:sz w:val="19"/>
              </w:rPr>
              <w:t xml:space="preserve">  New: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Fee change before any lawful GST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Increase / decrease: AUD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Expenses / licences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 access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Privacy / security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AI</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IP / third-party terms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Risks / dependencies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r>
        <w:t xml:space="preserve">Change effective date </w:t>
      </w:r>
      <w:r>
        <w:rPr>
          <w:highlight w:val="yellow"/>
        </w:rPr>
        <w:t xml:space="preserve">[Placeholder]</w:t>
      </w:r>
      <w:r>
        <w:t xml:space="preserve"> (COMPLETE) | replaced SOW clause/version </w:t>
      </w:r>
      <w:r>
        <w:rPr>
          <w:highlight w:val="yellow"/>
        </w:rPr>
        <w:t xml:space="preserve">[Placeholder]</w:t>
      </w:r>
      <w:r>
        <w:t xml:space="preserve"> (COMPLETE) | total fee and lawful GST effect </w:t>
      </w:r>
      <w:r>
        <w:rPr>
          <w:highlight w:val="yellow"/>
        </w:rPr>
        <w:t xml:space="preserve">[Placeholder]</w:t>
      </w:r>
      <w:r>
        <w:t xml:space="preserve"> (COMPLETE)</w:t>
      </w:r>
    </w:p>
    <w:p>
      <w:r>
        <w:rPr>
          <w:rFonts w:ascii="Calibri" w:hAnsi="Calibri"/>
          <w:i w:val="0"/>
        </w:rPr>
        <w:t>When signed, this Change Request amends the identified SOW only. All other terms continue. No changed work begins before the effective date below, except documented emergency protection steps.</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Agreed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Agreed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p>
      <w:r>
        <w:br w:type="page"/>
      </w:r>
    </w:p>
    <w:p>
      <w:pPr>
        <w:spacing w:before="160" w:after="40"/>
      </w:pPr>
      <w:r>
        <w:rPr>
          <w:rFonts w:ascii="Calibri" w:hAnsi="Calibri"/>
          <w:b/>
          <w:color w:val="2E74B5"/>
          <w:sz w:val="18"/>
        </w:rPr>
        <w:t>PROJECT CONTROL FORM | D</w:t>
      </w:r>
    </w:p>
    <w:p>
      <w:pPr>
        <w:spacing w:before="0" w:after="120"/>
      </w:pPr>
      <w:r>
        <w:rPr>
          <w:rFonts w:ascii="Calibri" w:hAnsi="Calibri"/>
          <w:b/>
          <w:color w:val="17324D"/>
          <w:sz w:val="56"/>
        </w:rPr>
        <w:t>Deliverable Review and Acceptance</w:t>
      </w:r>
    </w:p>
    <w:p>
      <w:pPr>
        <w:spacing w:before="0" w:after="320"/>
      </w:pPr>
      <w:r>
        <w:rPr>
          <w:rFonts w:ascii="Calibri" w:hAnsi="Calibri"/>
          <w:color w:val="66717E"/>
          <w:sz w:val="26"/>
        </w:rPr>
        <w:t>Records objective review against the SOW without waiving non-excludable rights or latent defects.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Deliverable / 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Submitted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Review period ends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Acceptance Criteria reference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Review result</w:t>
      </w:r>
    </w:p>
    <w:p>
      <w:pPr>
        <w:spacing w:before="0" w:after="160" w:line="280" w:lineRule="auto"/>
        <w:numPr>
          <w:ilvl w:val="0"/>
          <w:numId w:val="10"/>
        </w:numPr>
      </w:pPr>
      <w:r>
        <w:rPr>
          <w:highlight w:val="yellow"/>
        </w:rPr>
        <w:t xml:space="preserve">[Placeholder]</w:t>
      </w:r>
      <w:r>
        <w:t xml:space="preserve"> Select: </w:t>
      </w:r>
      <w:r>
        <w:rPr>
          <w:rFonts w:ascii="Calibri" w:hAnsi="Calibri"/>
        </w:rPr>
        <w:t>[  ] Accepted - the Deliverable meets the Acceptance Criteria.</w:t>
      </w:r>
    </w:p>
    <w:p>
      <w:pPr>
        <w:spacing w:before="0" w:after="160" w:line="280" w:lineRule="auto"/>
        <w:numPr>
          <w:ilvl w:val="0"/>
          <w:numId w:val="10"/>
        </w:numPr>
      </w:pPr>
      <w:r>
        <w:rPr>
          <w:highlight w:val="yellow"/>
        </w:rPr>
        <w:t xml:space="preserve">[Placeholder]</w:t>
      </w:r>
      <w:r>
        <w:t xml:space="preserve"> Select: </w:t>
      </w:r>
      <w:r>
        <w:rPr>
          <w:rFonts w:ascii="Calibri" w:hAnsi="Calibri"/>
        </w:rPr>
        <w:t>[  ] Accepted with minor items - the Deliverable may be used, subject to the actions below.</w:t>
      </w:r>
    </w:p>
    <w:p>
      <w:pPr>
        <w:spacing w:before="0" w:after="160" w:line="280" w:lineRule="auto"/>
        <w:numPr>
          <w:ilvl w:val="0"/>
          <w:numId w:val="10"/>
        </w:numPr>
      </w:pPr>
      <w:r>
        <w:rPr>
          <w:highlight w:val="yellow"/>
        </w:rPr>
        <w:t xml:space="preserve">[Placeholder]</w:t>
      </w:r>
      <w:r>
        <w:t xml:space="preserve"> Select: </w:t>
      </w:r>
      <w:r>
        <w:rPr>
          <w:rFonts w:ascii="Calibri" w:hAnsi="Calibri"/>
        </w:rPr>
        <w:t>[  ] Not accepted - the specific material non-conformities and evidence are listed below.</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Evidence / test result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Required correction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resubmission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Residual risks / open items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r>
        <w:rPr>
          <w:rFonts w:ascii="Calibri" w:hAnsi="Calibri"/>
          <w:i w:val="0"/>
        </w:rPr>
        <w:t>Acceptance is for project administration and does not waive a latent defect, an express warranty, a consumer guarantee or a right that cannot lawfully be excluded.</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Acknowledged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Decision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p>
      <w:r>
        <w:br w:type="page"/>
      </w:r>
    </w:p>
    <w:p>
      <w:pPr>
        <w:spacing w:before="160" w:after="40"/>
      </w:pPr>
      <w:r>
        <w:rPr>
          <w:rFonts w:ascii="Calibri" w:hAnsi="Calibri"/>
          <w:b/>
          <w:color w:val="2E74B5"/>
          <w:sz w:val="18"/>
        </w:rPr>
        <w:t>PROJECT CONTROL FORM | E</w:t>
      </w:r>
    </w:p>
    <w:p>
      <w:pPr>
        <w:spacing w:before="0" w:after="120"/>
      </w:pPr>
      <w:r>
        <w:rPr>
          <w:rFonts w:ascii="Calibri" w:hAnsi="Calibri"/>
          <w:b/>
          <w:color w:val="17324D"/>
          <w:sz w:val="56"/>
        </w:rPr>
        <w:t>Handover and Access Closure</w:t>
      </w:r>
    </w:p>
    <w:p>
      <w:pPr>
        <w:spacing w:before="0" w:after="320"/>
      </w:pPr>
      <w:r>
        <w:rPr>
          <w:rFonts w:ascii="Calibri" w:hAnsi="Calibri"/>
          <w:color w:val="66717E"/>
          <w:sz w:val="26"/>
        </w:rPr>
        <w:t>Confirms delivery, knowledge transfer, access removal and data disposition at project close.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Handover checklist</w:t>
      </w:r>
    </w:p>
    <w:p>
      <w:pPr>
        <w:spacing w:before="0" w:after="160" w:line="280" w:lineRule="auto"/>
        <w:numPr>
          <w:ilvl w:val="0"/>
          <w:numId w:val="10"/>
        </w:numPr>
      </w:pPr>
      <w:r>
        <w:rPr>
          <w:highlight w:val="yellow"/>
        </w:rPr>
        <w:t xml:space="preserve">[Placeholder]</w:t>
      </w:r>
      <w:r>
        <w:t xml:space="preserve"> Select: </w:t>
      </w:r>
      <w:r>
        <w:rPr>
          <w:rFonts w:ascii="Calibri" w:hAnsi="Calibri"/>
        </w:rPr>
        <w:t>[  ] Final Deliverables and source/editable files provided as agreed.</w:t>
      </w:r>
    </w:p>
    <w:p>
      <w:pPr>
        <w:spacing w:before="0" w:after="160" w:line="280" w:lineRule="auto"/>
        <w:numPr>
          <w:ilvl w:val="0"/>
          <w:numId w:val="10"/>
        </w:numPr>
      </w:pPr>
      <w:r>
        <w:rPr>
          <w:highlight w:val="yellow"/>
        </w:rPr>
        <w:t xml:space="preserve">[Placeholder]</w:t>
      </w:r>
      <w:r>
        <w:t xml:space="preserve"> Select: </w:t>
      </w:r>
      <w:r>
        <w:rPr>
          <w:rFonts w:ascii="Calibri" w:hAnsi="Calibri"/>
        </w:rPr>
        <w:t>[  ] User guide, operating notes, configuration and maintenance instructions provided.</w:t>
      </w:r>
    </w:p>
    <w:p>
      <w:pPr>
        <w:spacing w:before="0" w:after="160" w:line="280" w:lineRule="auto"/>
        <w:numPr>
          <w:ilvl w:val="0"/>
          <w:numId w:val="10"/>
        </w:numPr>
      </w:pPr>
      <w:r>
        <w:rPr>
          <w:highlight w:val="yellow"/>
        </w:rPr>
        <w:t xml:space="preserve">[Placeholder]</w:t>
      </w:r>
      <w:r>
        <w:t xml:space="preserve"> Select: </w:t>
      </w:r>
      <w:r>
        <w:rPr>
          <w:rFonts w:ascii="Calibri" w:hAnsi="Calibri"/>
        </w:rPr>
        <w:t>[  ] Training or walkthrough completed; attendance/evidence recorded.</w:t>
      </w:r>
    </w:p>
    <w:p>
      <w:pPr>
        <w:spacing w:before="0" w:after="160" w:line="280" w:lineRule="auto"/>
        <w:numPr>
          <w:ilvl w:val="0"/>
          <w:numId w:val="10"/>
        </w:numPr>
      </w:pPr>
      <w:r>
        <w:rPr>
          <w:highlight w:val="yellow"/>
        </w:rPr>
        <w:t xml:space="preserve">[Placeholder]</w:t>
      </w:r>
      <w:r>
        <w:t xml:space="preserve"> Select: </w:t>
      </w:r>
      <w:r>
        <w:rPr>
          <w:rFonts w:ascii="Calibri" w:hAnsi="Calibri"/>
        </w:rPr>
        <w:t>[  ] Client ownership, licence and third-party dependencies recorded.</w:t>
      </w:r>
    </w:p>
    <w:p>
      <w:pPr>
        <w:spacing w:before="0" w:after="160" w:line="280" w:lineRule="auto"/>
        <w:numPr>
          <w:ilvl w:val="0"/>
          <w:numId w:val="10"/>
        </w:numPr>
      </w:pPr>
      <w:r>
        <w:rPr>
          <w:highlight w:val="yellow"/>
        </w:rPr>
        <w:t xml:space="preserve">[Placeholder]</w:t>
      </w:r>
      <w:r>
        <w:t xml:space="preserve"> Select: </w:t>
      </w:r>
      <w:r>
        <w:rPr>
          <w:rFonts w:ascii="Calibri" w:hAnsi="Calibri"/>
        </w:rPr>
        <w:t>[  ] Known limitations, residual risks and open actions recorded.</w:t>
      </w:r>
    </w:p>
    <w:p>
      <w:pPr>
        <w:spacing w:before="0" w:after="160" w:line="280" w:lineRule="auto"/>
        <w:numPr>
          <w:ilvl w:val="0"/>
          <w:numId w:val="10"/>
        </w:numPr>
      </w:pPr>
      <w:r>
        <w:rPr>
          <w:highlight w:val="yellow"/>
        </w:rPr>
        <w:t xml:space="preserve">[Placeholder]</w:t>
      </w:r>
      <w:r>
        <w:t xml:space="preserve"> Select: </w:t>
      </w:r>
      <w:r>
        <w:rPr>
          <w:rFonts w:ascii="Calibri" w:hAnsi="Calibri"/>
        </w:rPr>
        <w:t>[  ] Client confirms backup and business-continuity ownership.</w:t>
      </w:r>
    </w:p>
    <w:p>
      <w:pPr>
        <w:spacing w:before="0" w:after="160" w:line="280" w:lineRule="auto"/>
        <w:numPr>
          <w:ilvl w:val="0"/>
          <w:numId w:val="10"/>
        </w:numPr>
      </w:pPr>
      <w:r>
        <w:rPr>
          <w:highlight w:val="yellow"/>
        </w:rPr>
        <w:t xml:space="preserve">[Placeholder]</w:t>
      </w:r>
      <w:r>
        <w:t xml:space="preserve"> Select: </w:t>
      </w:r>
      <w:r>
        <w:rPr>
          <w:rFonts w:ascii="Calibri" w:hAnsi="Calibri"/>
        </w:rPr>
        <w:t>[  ] Heutrix named-user, admin, API and temporary access removed.</w:t>
      </w:r>
    </w:p>
    <w:p>
      <w:pPr>
        <w:spacing w:before="0" w:after="160" w:line="280" w:lineRule="auto"/>
        <w:numPr>
          <w:ilvl w:val="0"/>
          <w:numId w:val="10"/>
        </w:numPr>
      </w:pPr>
      <w:r>
        <w:rPr>
          <w:highlight w:val="yellow"/>
        </w:rPr>
        <w:t xml:space="preserve">[Placeholder]</w:t>
      </w:r>
      <w:r>
        <w:t xml:space="preserve"> Select: </w:t>
      </w:r>
      <w:r>
        <w:rPr>
          <w:rFonts w:ascii="Calibri" w:hAnsi="Calibri"/>
        </w:rPr>
        <w:t>[  ] Credentials or secrets rotated where required; none copied into this form.</w:t>
      </w:r>
    </w:p>
    <w:p>
      <w:pPr>
        <w:spacing w:before="0" w:after="160" w:line="280" w:lineRule="auto"/>
        <w:numPr>
          <w:ilvl w:val="0"/>
          <w:numId w:val="10"/>
        </w:numPr>
      </w:pPr>
      <w:r>
        <w:rPr>
          <w:highlight w:val="yellow"/>
        </w:rPr>
        <w:t xml:space="preserve">[Placeholder]</w:t>
      </w:r>
      <w:r>
        <w:t xml:space="preserve"> Select: </w:t>
      </w:r>
      <w:r>
        <w:rPr>
          <w:rFonts w:ascii="Calibri" w:hAnsi="Calibri"/>
        </w:rPr>
        <w:t>[  ] Client Data returned or securely deleted as agreed.</w:t>
      </w:r>
    </w:p>
    <w:p>
      <w:pPr>
        <w:spacing w:before="0" w:after="160" w:line="280" w:lineRule="auto"/>
        <w:numPr>
          <w:ilvl w:val="0"/>
          <w:numId w:val="10"/>
        </w:numPr>
      </w:pPr>
      <w:r>
        <w:rPr>
          <w:highlight w:val="yellow"/>
        </w:rPr>
        <w:t xml:space="preserve">[Placeholder]</w:t>
      </w:r>
      <w:r>
        <w:t xml:space="preserve"> Select: </w:t>
      </w:r>
      <w:r>
        <w:rPr>
          <w:rFonts w:ascii="Calibri" w:hAnsi="Calibri"/>
        </w:rPr>
        <w:t>[  ] Backup retention exception and final deletion date recorded.</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Handover location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removed 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returned / deleted 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Backup exception / deletion target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Support start / end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Open items and owners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Closed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Confirmed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p>
      <w:r>
        <w:br w:type="page"/>
      </w:r>
    </w:p>
    <w:p>
      <w:pPr>
        <w:pStyle w:val="Heading1"/>
      </w:pPr>
      <w:r>
        <w:rPr>
          <w:color w:val="000000"/>
          <w:u w:val="none"/>
        </w:rPr>
        <w:t>F Privacy request and complaint record</w:t>
      </w:r>
    </w:p>
    <w:p>
      <w:r>
        <w:t>Internal restricted record. Do not place identity documents or sensitive request content in this repository. Use with SOP 10.</w:t>
      </w:r>
    </w:p>
    <w:p>
      <w:pPr/>
      <w:r>
        <w:rPr>
          <w:highlight w:val="yellow"/>
        </w:rPr>
        <w:t>Request reference and received date</w:t>
        <w:br/>
        <w:t>[Placeholder] (COMPLETE)</w:t>
      </w:r>
    </w:p>
    <w:p>
      <w:pPr/>
      <w:r>
        <w:rPr>
          <w:highlight w:val="yellow"/>
        </w:rPr>
        <w:t>Request type and safe contact reference</w:t>
        <w:br/>
        <w:t>[Placeholder] (COMPLETE)</w:t>
      </w:r>
    </w:p>
    <w:p>
      <w:pPr/>
      <w:r>
        <w:rPr>
          <w:highlight w:val="yellow"/>
        </w:rPr>
        <w:t>Identity or authority check and method</w:t>
        <w:br/>
        <w:t>[Placeholder] (COMPLETE)</w:t>
      </w:r>
    </w:p>
    <w:p>
      <w:pPr/>
      <w:r>
        <w:rPr>
          <w:highlight w:val="yellow"/>
        </w:rPr>
        <w:t>Information locations and client involvement</w:t>
        <w:br/>
        <w:t>[Placeholder] (COMPLETE)</w:t>
      </w:r>
    </w:p>
    <w:p>
      <w:pPr/>
      <w:r>
        <w:rPr>
          <w:highlight w:val="yellow"/>
        </w:rPr>
        <w:t>Applicable duty deadline and action owner</w:t>
        <w:br/>
        <w:t>[Placeholder] (COMPLETE)</w:t>
      </w:r>
    </w:p>
    <w:p>
      <w:pPr/>
      <w:r>
        <w:rPr>
          <w:highlight w:val="yellow"/>
        </w:rPr>
        <w:t>Assessment and lawful retention or refusal reasons</w:t>
        <w:br/>
        <w:t>[Placeholder] (COMPLETE)</w:t>
      </w:r>
    </w:p>
    <w:p>
      <w:pPr/>
      <w:r>
        <w:rPr>
          <w:highlight w:val="yellow"/>
        </w:rPr>
        <w:t>Response date channel and restricted evidence</w:t>
        <w:br/>
        <w:t>[Placeholder] (COMPLETE)</w:t>
      </w:r>
    </w:p>
    <w:p>
      <w:pPr/>
      <w:r>
        <w:rPr>
          <w:highlight w:val="yellow"/>
        </w:rPr>
        <w:t>Completion actions and follow up date</w:t>
        <w:br/>
        <w:t>[Placeholder] (COMPLETE)</w:t>
      </w:r>
    </w:p>
    <w:p>
      <w:r>
        <w:br w:type="page"/>
      </w:r>
    </w:p>
    <w:p>
      <w:pPr>
        <w:pStyle w:val="Heading1"/>
      </w:pPr>
      <w:r>
        <w:rPr>
          <w:color w:val="000000"/>
          <w:u w:val="none"/>
        </w:rPr>
        <w:t>G Incident assessment and response record</w:t>
      </w:r>
    </w:p>
    <w:p>
      <w:r>
        <w:t>Internal restricted record. Follow SOP 09 immediately. Do not wait for a complete form before containment or required notification. Do not enter raw personal data or secrets.</w:t>
      </w:r>
    </w:p>
    <w:p>
      <w:pPr/>
      <w:r>
        <w:rPr>
          <w:highlight w:val="yellow"/>
        </w:rPr>
        <w:t>Incident reference and discovery time with timezone</w:t>
        <w:br/>
        <w:t>[Placeholder] (COMPLETE)</w:t>
      </w:r>
    </w:p>
    <w:p>
      <w:pPr/>
      <w:r>
        <w:rPr>
          <w:highlight w:val="yellow"/>
        </w:rPr>
        <w:t>Reporter and incident lead with backup</w:t>
        <w:br/>
        <w:t>[Placeholder] (COMPLETE)</w:t>
      </w:r>
    </w:p>
    <w:p>
      <w:pPr/>
      <w:r>
        <w:rPr>
          <w:highlight w:val="yellow"/>
        </w:rPr>
        <w:t>Affected systems and information categories</w:t>
        <w:br/>
        <w:t>[Placeholder] (COMPLETE)</w:t>
      </w:r>
    </w:p>
    <w:p>
      <w:pPr/>
      <w:r>
        <w:rPr>
          <w:highlight w:val="yellow"/>
        </w:rPr>
        <w:t>Restricted evidence location and preservation steps</w:t>
        <w:br/>
        <w:t>[Placeholder] (COMPLETE)</w:t>
      </w:r>
    </w:p>
    <w:p>
      <w:pPr/>
      <w:r>
        <w:rPr>
          <w:highlight w:val="yellow"/>
        </w:rPr>
        <w:t>Containment actions owner and time</w:t>
        <w:br/>
        <w:t>[Placeholder] (COMPLETE)</w:t>
      </w:r>
    </w:p>
    <w:p>
      <w:pPr/>
      <w:r>
        <w:rPr>
          <w:highlight w:val="yellow"/>
        </w:rPr>
        <w:t>Applicable contractual and statutory deadlines</w:t>
        <w:br/>
        <w:t>[Placeholder] (COMPLETE)</w:t>
      </w:r>
    </w:p>
    <w:p>
      <w:pPr/>
      <w:r>
        <w:rPr>
          <w:highlight w:val="yellow"/>
        </w:rPr>
        <w:t>Serious harm and remediation assessment</w:t>
        <w:br/>
        <w:t>[Placeholder] (COMPLETE)</w:t>
      </w:r>
    </w:p>
    <w:p>
      <w:pPr/>
      <w:r>
        <w:rPr>
          <w:highlight w:val="yellow"/>
        </w:rPr>
        <w:t>Notification decision reasons reviewer and time</w:t>
        <w:br/>
        <w:t>[Placeholder] (COMPLETE)</w:t>
      </w:r>
    </w:p>
    <w:p>
      <w:pPr/>
      <w:r>
        <w:rPr>
          <w:highlight w:val="yellow"/>
        </w:rPr>
        <w:t>Notices sent evidence and next update time</w:t>
        <w:br/>
        <w:t>[Placeholder] (COMPLETE)</w:t>
      </w:r>
    </w:p>
    <w:p>
      <w:pPr/>
      <w:r>
        <w:rPr>
          <w:highlight w:val="yellow"/>
        </w:rPr>
        <w:t>Recovery approval residual actions and review date</w:t>
        <w:br/>
        <w:t>[Placeholder] (COMPLETE)</w:t>
      </w:r>
    </w:p>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drawing>
        <wp:inline xmlns:a="http://schemas.openxmlformats.org/drawingml/2006/main" xmlns:pic="http://schemas.openxmlformats.org/drawingml/2006/picture">
          <wp:extent cx="1051560" cy="286112"/>
          <wp:docPr id="1" name="Picture 1"/>
          <wp:cNvGraphicFramePr>
            <a:graphicFrameLocks noChangeAspect="1"/>
          </wp:cNvGraphicFramePr>
          <a:graphic>
            <a:graphicData uri="http://schemas.openxmlformats.org/drawingml/2006/picture">
              <pic:pic>
                <pic:nvPicPr>
                  <pic:cNvPr id="0" name="heutrix-logo-colour.png"/>
                  <pic:cNvPicPr/>
                </pic:nvPicPr>
                <pic:blipFill>
                  <a:blip r:embed="rId1"/>
                  <a:stretch>
                    <a:fillRect/>
                  </a:stretch>
                </pic:blipFill>
                <pic:spPr>
                  <a:xfrm>
                    <a:off x="0" y="0"/>
                    <a:ext cx="1051560" cy="286112"/>
                  </a:xfrm>
                  <a:prstGeom prst="rect"/>
                </pic:spPr>
              </pic:pic>
            </a:graphicData>
          </a:graphic>
        </wp:inline>
      </w:drawing>
      <w:t xml:space="preserve">   </w:t>
    </w:r>
    <w:r>
      <w:rPr>
        <w:color w:val="000000"/>
        <w:sz w:val="16"/>
      </w:rPr>
      <w:t>05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Control Forms</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