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ORDER FORM</w:t>
      </w:r>
    </w:p>
    <w:p>
      <w:pPr>
        <w:pStyle w:val="Title"/>
        <w:spacing w:before="0" w:after="120"/>
      </w:pPr>
      <w:r>
        <w:rPr>
          <w:rFonts w:ascii="Calibri" w:hAnsi="Calibri"/>
          <w:b/>
          <w:color w:val="000000"/>
          <w:sz w:val="56"/>
          <w:u w:val="none"/>
        </w:rPr>
        <w:t>Heutrix Diagnostics Order Form</w:t>
      </w:r>
    </w:p>
    <w:p>
      <w:pPr>
        <w:spacing w:before="0" w:after="320"/>
      </w:pPr>
      <w:r>
        <w:rPr>
          <w:rFonts w:ascii="Calibri" w:hAnsi="Calibri"/>
          <w:color w:val="000000"/>
          <w:sz w:val="26"/>
        </w:rPr>
        <w:t>Standalone paid workflow investigation and decision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ABN / ACN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in scope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[APPROVE fee] | [COMPLETE lawful GST treatment and total]</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Order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v2.0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Contract: </w:t>
      </w:r>
      <w:r>
        <w:rPr>
          <w:rFonts w:ascii="Calibri" w:hAnsi="Calibri"/>
          <w:color w:val="20262E"/>
          <w:sz w:val="20"/>
        </w:rPr>
        <w:t>This signed Order Form and the identified Client Services Agreement form the contract. The Client confirms it received the complete CSA before signing.</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pStyle w:val="Heading1"/>
      </w:pPr>
      <w:r>
        <w:rPr>
          <w:color w:val="000000"/>
          <w:u w:val="none"/>
        </w:rPr>
        <w:t>1. Outcome</w:t>
      </w:r>
    </w:p>
    <w:p>
      <w:r>
        <w:rPr>
          <w:rFonts w:ascii="Calibri" w:hAnsi="Calibri"/>
          <w:i w:val="0"/>
        </w:rPr>
        <w:t>Heutrix will review one defined operational workflow, map how it operates now, identify material friction and visibility gaps, and recommend the simplest practical improvement options. The Diagnostic is intended to support an informed next-step decision; it is not an implementation project or assurance review.</w:t>
      </w:r>
    </w:p>
    <w:p>
      <w:pPr>
        <w:pStyle w:val="Heading1"/>
      </w:pPr>
      <w:r>
        <w:rPr>
          <w:color w:val="000000"/>
          <w:u w:val="none"/>
        </w:rPr>
        <w:t>2. Included Services</w:t>
      </w:r>
    </w:p>
    <w:p>
      <w:pPr>
        <w:spacing w:before="0" w:after="160" w:line="280" w:lineRule="auto"/>
        <w:numPr>
          <w:ilvl w:val="0"/>
          <w:numId w:val="10"/>
        </w:numPr>
      </w:pPr>
      <w:r>
        <w:rPr>
          <w:rFonts w:ascii="Calibri" w:hAnsi="Calibri"/>
        </w:rPr>
        <w:t>A short kickoff and data-handling check with the Client project owner.</w:t>
      </w:r>
    </w:p>
    <w:p>
      <w:pPr>
        <w:spacing w:before="0" w:after="160" w:line="280" w:lineRule="auto"/>
        <w:numPr>
          <w:ilvl w:val="0"/>
          <w:numId w:val="10"/>
        </w:numPr>
      </w:pPr>
      <w:r>
        <w:rPr>
          <w:rFonts w:ascii="Calibri" w:hAnsi="Calibri"/>
        </w:rPr>
        <w:t>Discovery interviews/workshops: [APPROVE number, duration, format and included participants in the written scope].</w:t>
      </w:r>
    </w:p>
    <w:p>
      <w:pPr>
        <w:spacing w:before="0" w:after="160" w:line="280" w:lineRule="auto"/>
        <w:numPr>
          <w:ilvl w:val="0"/>
          <w:numId w:val="10"/>
        </w:numPr>
      </w:pPr>
      <w:r>
        <w:rPr>
          <w:rFonts w:ascii="Calibri" w:hAnsi="Calibri"/>
        </w:rPr>
        <w:t>Document/evidence review: [APPROVE document or page limit and evidence depth], using synthetic or appropriately de-identified material unless a separate lawful data authorisation is approved.</w:t>
      </w:r>
    </w:p>
    <w:p>
      <w:pPr>
        <w:spacing w:before="0" w:after="160" w:line="280" w:lineRule="auto"/>
        <w:numPr>
          <w:ilvl w:val="0"/>
          <w:numId w:val="10"/>
        </w:numPr>
      </w:pPr>
      <w:r>
        <w:rPr>
          <w:rFonts w:ascii="Calibri" w:hAnsi="Calibri"/>
        </w:rPr>
        <w:t>A current-state workflow map showing key steps, roles, information, decisions, handovers and material failure points.</w:t>
      </w:r>
    </w:p>
    <w:p>
      <w:pPr>
        <w:spacing w:before="0" w:after="160" w:line="280" w:lineRule="auto"/>
        <w:numPr>
          <w:ilvl w:val="0"/>
          <w:numId w:val="10"/>
        </w:numPr>
      </w:pPr>
      <w:r>
        <w:rPr>
          <w:rFonts w:ascii="Calibri" w:hAnsi="Calibri"/>
        </w:rPr>
        <w:t>A practical future-state workflow map at an appropriate level of detail.</w:t>
      </w:r>
    </w:p>
    <w:p>
      <w:pPr>
        <w:spacing w:before="0" w:after="160" w:line="280" w:lineRule="auto"/>
        <w:numPr>
          <w:ilvl w:val="0"/>
          <w:numId w:val="10"/>
        </w:numPr>
      </w:pPr>
      <w:r>
        <w:rPr>
          <w:rFonts w:ascii="Calibri" w:hAnsi="Calibri"/>
        </w:rPr>
        <w:t>A prioritised list of improvement opportunities and high-level implementation options, which may include process changes, tracking, visibility, automation, controlled AI or no technology change.</w:t>
      </w:r>
    </w:p>
    <w:p>
      <w:pPr>
        <w:spacing w:before="0" w:after="160" w:line="280" w:lineRule="auto"/>
        <w:numPr>
          <w:ilvl w:val="0"/>
          <w:numId w:val="10"/>
        </w:numPr>
      </w:pPr>
      <w:r>
        <w:rPr>
          <w:rFonts w:ascii="Calibri" w:hAnsi="Calibri"/>
        </w:rPr>
        <w:t>Findings readout: [APPROVE number, duration, format and audience].</w:t>
      </w:r>
    </w:p>
    <w:p>
      <w:pPr>
        <w:spacing w:before="0" w:after="160" w:line="280" w:lineRule="auto"/>
        <w:numPr>
          <w:ilvl w:val="0"/>
          <w:numId w:val="10"/>
        </w:numPr>
      </w:pPr>
      <w:r>
        <w:rPr>
          <w:rFonts w:ascii="Calibri" w:hAnsi="Calibri"/>
        </w:rPr>
        <w:t>A concise written findings report summarising scope, evidence, assumptions, observations, recommendations, dependencies and next steps.</w:t>
      </w:r>
    </w:p>
    <w:p>
      <w:pPr>
        <w:pStyle w:val="Heading1"/>
      </w:pPr>
      <w:r>
        <w:rPr>
          <w:color w:val="000000"/>
          <w:u w:val="none"/>
        </w:rPr>
        <w:t>3. Exclusions</w:t>
      </w:r>
    </w:p>
    <w:p>
      <w:pPr>
        <w:spacing w:before="0" w:after="160" w:line="280" w:lineRule="auto"/>
        <w:numPr>
          <w:ilvl w:val="0"/>
          <w:numId w:val="10"/>
        </w:numPr>
      </w:pPr>
      <w:r>
        <w:rPr>
          <w:rFonts w:ascii="Calibri" w:hAnsi="Calibri"/>
        </w:rPr>
        <w:t>System configuration, software development, automation build, dashboard build, data migration, integration, production deployment or ongoing support.</w:t>
      </w:r>
    </w:p>
    <w:p>
      <w:pPr>
        <w:spacing w:before="0" w:after="160" w:line="280" w:lineRule="auto"/>
        <w:numPr>
          <w:ilvl w:val="0"/>
          <w:numId w:val="10"/>
        </w:numPr>
      </w:pPr>
      <w:r>
        <w:rPr>
          <w:rFonts w:ascii="Calibri" w:hAnsi="Calibri"/>
        </w:rPr>
        <w:t>Clinical, medical, legal, tax, employment, regulatory, official audit, NDIS registration, compliance assurance, mock audit or certification advice.</w:t>
      </w:r>
    </w:p>
    <w:p>
      <w:pPr>
        <w:spacing w:before="0" w:after="160" w:line="280" w:lineRule="auto"/>
        <w:numPr>
          <w:ilvl w:val="0"/>
          <w:numId w:val="10"/>
        </w:numPr>
      </w:pPr>
      <w:r>
        <w:rPr>
          <w:rFonts w:ascii="Calibri" w:hAnsi="Calibri"/>
        </w:rPr>
        <w:t>Detailed security testing, penetration testing, privacy impact assessment, clinical safety assessment or formal accessibility audit.</w:t>
      </w:r>
    </w:p>
    <w:p>
      <w:pPr>
        <w:spacing w:before="0" w:after="160" w:line="280" w:lineRule="auto"/>
        <w:numPr>
          <w:ilvl w:val="0"/>
          <w:numId w:val="10"/>
        </w:numPr>
      </w:pPr>
      <w:r>
        <w:rPr>
          <w:rFonts w:ascii="Calibri" w:hAnsi="Calibri"/>
        </w:rPr>
        <w:t>Travel, on-site workshops, translation, transcription, extensive document review or consultation outside the stated limits.</w:t>
      </w:r>
    </w:p>
    <w:p>
      <w:pPr>
        <w:spacing w:before="0" w:after="160" w:line="280" w:lineRule="auto"/>
        <w:numPr>
          <w:ilvl w:val="0"/>
          <w:numId w:val="10"/>
        </w:numPr>
      </w:pPr>
      <w:r>
        <w:rPr>
          <w:rFonts w:ascii="Calibri" w:hAnsi="Calibri"/>
        </w:rPr>
        <w:t>Use of identifiable patient, participant, worker or staff information, unless added through a signed change and data authorisation.</w:t>
      </w:r>
    </w:p>
    <w:p>
      <w:pPr>
        <w:pStyle w:val="Heading1"/>
      </w:pPr>
      <w:r>
        <w:rPr>
          <w:color w:val="000000"/>
          <w:u w:val="none"/>
        </w:rPr>
        <w:t>4. Deliverables and acceptance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100"/>
        <w:gridCol w:w="5160"/>
        <w:gridCol w:w="2100"/>
      </w:tblGrid>
      <w:tr>
        <w:trPr>
          <w:tblHeader w:val="true"/>
          <w:cantSplit/>
        </w:trPr>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Deliverable</w:t>
            </w:r>
          </w:p>
        </w:tc>
        <w:tc>
          <w:tcPr>
            <w:tcW w:type="dxa" w:w="51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Acceptance criteria</w:t>
            </w:r>
          </w:p>
        </w:tc>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Current-state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Covers agreed start/end, material roles, handovers, decisions and known pain points.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Future-state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Shows recommended ownership, controls and material changes at a practical level.</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Opportunity list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Prioritised with rationale, dependencies and a high-level option for each material item.</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Findings report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Addresses the agreed workflow and distinguishes evidence, assumptions and recommendations.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[COMPLETE agreed report 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Presentation</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Walkthrough completed and material Client questions recorded.</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[COMPLETE agreed readout target]</w:t>
            </w:r>
          </w:p>
        </w:tc>
      </w:tr>
    </w:tbl>
    <w:p>
      <w:r>
        <w:rPr>
          <w:rFonts w:ascii="Calibri" w:hAnsi="Calibri"/>
          <w:i w:val="0"/>
        </w:rPr>
        <w:t>The Client has [APPROVE review period] business days to accept the deliverable in writing or provide evidence against the criteria. Included correction/refinement rounds: [APPROVE]. New scope or preference changes require a signed Change Request. Silence is not acceptance under this draft.</w:t>
      </w:r>
    </w:p>
    <w:p>
      <w:pPr>
        <w:pStyle w:val="Heading1"/>
      </w:pPr>
      <w:r>
        <w:rPr>
          <w:color w:val="000000"/>
          <w:u w:val="none"/>
        </w:rPr>
        <w:t>5. Client inputs and assumptions</w:t>
      </w:r>
    </w:p>
    <w:p>
      <w:pPr>
        <w:spacing w:before="0" w:after="160" w:line="280" w:lineRule="auto"/>
        <w:numPr>
          <w:ilvl w:val="0"/>
          <w:numId w:val="10"/>
        </w:numPr>
      </w:pPr>
      <w:r>
        <w:rPr>
          <w:rFonts w:ascii="Calibri" w:hAnsi="Calibri"/>
        </w:rPr>
        <w:t>The Client appoints one project owner who consolidates feedback and has authority to confirm operational facts.</w:t>
      </w:r>
    </w:p>
    <w:p>
      <w:pPr>
        <w:spacing w:before="0" w:after="160" w:line="280" w:lineRule="auto"/>
        <w:numPr>
          <w:ilvl w:val="0"/>
          <w:numId w:val="10"/>
        </w:numPr>
      </w:pPr>
      <w:r>
        <w:rPr>
          <w:rFonts w:ascii="Calibri" w:hAnsi="Calibri"/>
        </w:rPr>
        <w:t>The workflow is bounded by the start/end points below and can be investigated within the approved discovery effort.</w:t>
      </w:r>
    </w:p>
    <w:p>
      <w:pPr>
        <w:spacing w:before="0" w:after="160" w:line="280" w:lineRule="auto"/>
        <w:numPr>
          <w:ilvl w:val="0"/>
          <w:numId w:val="10"/>
        </w:numPr>
      </w:pPr>
      <w:r>
        <w:rPr>
          <w:rFonts w:ascii="Calibri" w:hAnsi="Calibri"/>
        </w:rPr>
        <w:t>The Client provides agreed safe documents and attendee availability by [COMPLETE agreed input date].</w:t>
      </w:r>
    </w:p>
    <w:p>
      <w:pPr>
        <w:spacing w:before="0" w:after="160" w:line="280" w:lineRule="auto"/>
        <w:numPr>
          <w:ilvl w:val="0"/>
          <w:numId w:val="10"/>
        </w:numPr>
      </w:pPr>
      <w:r>
        <w:rPr>
          <w:rFonts w:ascii="Calibri" w:hAnsi="Calibri"/>
        </w:rPr>
        <w:t>Work is remote and conducted during Melbourne business hours unless agreed otherwise.</w:t>
      </w:r>
    </w:p>
    <w:p>
      <w:pPr>
        <w:spacing w:before="0" w:after="160" w:line="280" w:lineRule="auto"/>
        <w:numPr>
          <w:ilvl w:val="0"/>
          <w:numId w:val="10"/>
        </w:numPr>
      </w:pPr>
      <w:r>
        <w:rPr>
          <w:rFonts w:ascii="Calibri" w:hAnsi="Calibri"/>
        </w:rPr>
        <w:t>The Diagnostic relies on information supplied by the Client and is not an independent audit or verification of compliance.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Workshop attendees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Documents to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6. Timing</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Payment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milestone, due date and start condition]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workshop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Inputs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draft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[COMPLETE target and approved start prerequisites]</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presentation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Dates move reasonably if Client dependencies are late. Heutrix will notify the Client of the revised target and minimise avoidable delay.</w:t>
      </w:r>
    </w:p>
    <w:p>
      <w:pPr>
        <w:pStyle w:val="Heading1"/>
      </w:pPr>
      <w:r>
        <w:rPr>
          <w:color w:val="000000"/>
          <w:u w:val="none"/>
        </w:rPr>
        <w:t>7. Fees and payment</w:t>
      </w:r>
    </w:p>
    <w:p>
      <w:r>
        <w:rPr>
          <w:rFonts w:ascii="Calibri" w:hAnsi="Calibri"/>
          <w:i w:val="0"/>
        </w:rPr>
        <w:t>Private fixed fee: AUD [APPROVE fee]. GST treatment and total payable: [COMPLETE verified treatment and total]. Approved invoice milestones, due dates and payment/start condition: [COMPLETE]. No payment is requested under this review draft.</w:t>
      </w:r>
    </w:p>
    <w:p>
      <w:r>
        <w:rPr>
          <w:rFonts w:ascii="Calibri" w:hAnsi="Calibri"/>
          <w:i w:val="0"/>
        </w:rPr>
        <w:t>The fixed fee covers the completed Included Services and approved correction rounds only. Extra work and third-party or travel costs require prior written approval through a signed Change Request. Diagnostics is standalone paid work; no later purchase or automatic fee credit is required.</w:t>
      </w:r>
    </w:p>
    <w:p>
      <w:pPr>
        <w:pStyle w:val="Heading1"/>
      </w:pPr>
      <w:r>
        <w:rPr>
          <w:color w:val="000000"/>
          <w:u w:val="none"/>
        </w:rPr>
        <w:t>8. Data, system and AI settings</w:t>
      </w:r>
    </w:p>
    <w:p>
      <w:pPr>
        <w:spacing w:before="0" w:after="0"/>
      </w:pPr>
      <w:r>
        <w:rPr>
          <w:rFonts w:ascii="Calibri" w:hAnsi="Calibri"/>
          <w:b/>
          <w:color w:val="17324D"/>
          <w:sz w:val="20"/>
        </w:rPr>
        <w:t xml:space="preserve">Default data class: </w:t>
      </w:r>
      <w:r>
        <w:rPr>
          <w:rFonts w:ascii="Calibri" w:hAnsi="Calibri"/>
          <w:color w:val="20262E"/>
          <w:sz w:val="20"/>
        </w:rPr>
        <w:t>No Personal Information or sensitive information. Use synthetic, de-identified or appropriately redacted material only.</w:t>
      </w:r>
    </w:p>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exact system, tenant and evidence reference]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Production system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Personal or health information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Local download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 unless specifically authorised in form A with a secure storage and deletion plan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 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 AI use is approved unless an applicable signed form B is attached.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category-specific return, retention, deletion, backup expiry and verification]</w:t>
            </w:r>
          </w:p>
        </w:tc>
      </w:tr>
    </w:tbl>
    <w:p>
      <w:pPr>
        <w:spacing w:after="20"/>
      </w:pPr>
    </w:p>
    <w:p>
      <w:pPr>
        <w:pStyle w:val="Heading1"/>
      </w:pPr>
      <w:r>
        <w:rPr>
          <w:color w:val="000000"/>
          <w:u w:val="none"/>
        </w:rPr>
        <w:t>9. Intellectual property</w:t>
      </w:r>
    </w:p>
    <w:p>
      <w:r>
        <w:rPr>
          <w:rFonts w:ascii="Calibri" w:hAnsi="Calibri"/>
          <w:i w:val="0"/>
        </w:rPr>
        <w:t>Select the reviewed IP model before signature: [APPROVE client ownership / defined licence / other reviewed arrangement]. Identify the maps/report, editable formats, embedded Background Materials and third-party rights. The selected CSA/SOW terms apply; no IP model is selected by this blank order.</w:t>
      </w:r>
    </w:p>
    <w:p>
      <w:pPr>
        <w:pStyle w:val="Heading1"/>
      </w:pPr>
      <w:r>
        <w:rPr>
          <w:color w:val="000000"/>
          <w:u w:val="none"/>
        </w:rPr>
        <w:t>10. Special Conditions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If blank, no Special Conditions apply.</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02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Order Form</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