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u w:val="none"/>
        </w:rPr>
        <w:t>Heutrix project privacy arrangements and collection notice</w:t>
      </w:r>
    </w:p>
    <w:p>
      <w:r>
        <w:t>Version 2.0 review draft | Prepared 13 September 2026 | DO NOT ISSUE OR PUBLISH</w:t>
      </w:r>
    </w:p>
    <w:p>
      <w:r>
        <w:t>Heutrix Pty Ltd | ABN 64 702 109 662 | ACN 702 109 662</w:t>
      </w:r>
    </w:p>
    <w:p>
      <w:r>
        <w:t>This document is a project-specific privacy drafting master for business engagements. Complete and approve it against the actual information flow before use. It supplements the Client Services Agreement and form A. It does not replace the owner-approved public website privacy policy dated 12 September 2026 or establish that a particular law applies to Heutrix. No personal or sensitive client information is approved by this blank template.</w:t>
      </w:r>
    </w:p>
    <w:p>
      <w:pPr>
        <w:pStyle w:val="Heading1"/>
      </w:pPr>
      <w:r>
        <w:rPr>
          <w:color w:val="000000"/>
          <w:u w:val="none"/>
        </w:rPr>
        <w:t>Project details to complete before issue</w:t>
      </w:r>
    </w:p>
    <w:p>
      <w:r>
        <w:t>Project and SOW identifier [COMPLETE]</w:t>
      </w:r>
    </w:p>
    <w:p>
      <w:r>
        <w:t>Client legal entity and project contact [COMPLETE]</w:t>
      </w:r>
    </w:p>
    <w:p>
      <w:r>
        <w:t>Heutrix project privacy contact and monitored channel [APPROVE]</w:t>
      </w:r>
    </w:p>
    <w:p>
      <w:r>
        <w:t>Heutrix full address for notices [APPROVE]</w:t>
      </w:r>
    </w:p>
    <w:p>
      <w:r>
        <w:t>Notice version effective date and approving persons [COMPLETE]</w:t>
      </w:r>
    </w:p>
    <w:p>
      <w:r>
        <w:t>The public website privacy/enquiry contact is hello@heutrix.com.au. Formal contractual notices and project-specific responsibilities must be confirmed separately. Attach the actual approved collection notice to the information request and retain the supplied version.</w:t>
      </w:r>
    </w:p>
    <w:p>
      <w:pPr>
        <w:pStyle w:val="Heading1"/>
      </w:pPr>
      <w:r>
        <w:rPr>
          <w:color w:val="000000"/>
          <w:u w:val="none"/>
        </w:rPr>
        <w:t>Purpose and responsibilities</w:t>
      </w:r>
    </w:p>
    <w:p>
      <w:r>
        <w:t>Heutrix provides Heutrix Diagnostics, Heutrix Workflow Transformation and Heutrix AI Guardrails for agreed non-clinical operational work. The signed scope identifies what is included. Each party remains responsible for its own applicable privacy, health-records and other legal obligations; the client also confirms its authority and any notices or consents required to share information. A contract or client approval does not override the law.</w:t>
      </w:r>
    </w:p>
    <w:p>
      <w:r>
        <w:t>The client and Heutrix must document who collects information, whose purpose is being served, who can instruct handling and who responds to requests. Do not assume a foreign-law controller/processor label resolves Australian obligations. Seek advice on federal/state coverage, sensitive information and any relevant sector requirements before the handling begins.</w:t>
      </w:r>
    </w:p>
    <w:p>
      <w:pPr>
        <w:pStyle w:val="Heading1"/>
      </w:pPr>
      <w:r>
        <w:rPr>
          <w:color w:val="000000"/>
          <w:u w:val="none"/>
        </w:rPr>
        <w:t>Information and collection</w:t>
      </w:r>
    </w:p>
    <w:p>
      <w:r>
        <w:t>Start with synthetic or appropriately de-identified business examples. Check re-identification risk in context. The approved record must specify any business-contact details, project records, system metadata or other personal information that is necessary, and explicitly exclude everything else. Personal, health, participant, patient, staff-sensitive, credential and financial information must not arrive through public enquiries or an unapproved channel.</w:t>
      </w:r>
    </w:p>
    <w:p>
      <w:r>
        <w:t>Before soliciting personal information, document the exact categories, source, affected people, purpose, necessity, lawful authority, any required consent, whether provision is optional or required and consequences of not providing it. For indirect collection, consider what notice must be given to the individual and by whom. Unsolicited material follows SOP 03; do not retain it merely because someone supplied it.</w:t>
      </w:r>
    </w:p>
    <w:p>
      <w:pPr>
        <w:pStyle w:val="Heading1"/>
      </w:pPr>
      <w:r>
        <w:rPr>
          <w:color w:val="000000"/>
          <w:u w:val="none"/>
        </w:rPr>
        <w:t>Use disclosure and overseas processing</w:t>
      </w:r>
    </w:p>
    <w:p>
      <w:r>
        <w:t>Handle information only for the approved purpose, signed scope and documented lawful instructions. No sale, unrelated marketing, profiling or general AI model training is authorised. A new purpose or data category requires a new assessment and approvals before use.</w:t>
      </w:r>
    </w:p>
    <w:p>
      <w:r>
        <w:t>List the exact authorised personnel, client recipients, professional advisers and approved providers who receive information, their purpose and any subcontractor access. List storage and support-access countries where known, vendor terms, subprocessors, access restrictions and the relevant cross-border assessment. Do not assume that an Australian client tenant means all processing occurs in Australia.</w:t>
      </w:r>
    </w:p>
    <w:p>
      <w:r>
        <w:t>No collaboration platform, AI provider or offshore contractor is approved by being mentioned in this template. Client systems, email, storage, contract signing and other tools require approval for the relevant data class. The approved website use of Formspree and email does not authorise project records to be sent through those channels.</w:t>
      </w:r>
    </w:p>
    <w:p>
      <w:pPr>
        <w:pStyle w:val="Heading1"/>
      </w:pPr>
      <w:r>
        <w:rPr>
          <w:color w:val="000000"/>
          <w:u w:val="none"/>
        </w:rPr>
        <w:t>Safeguards and incidents</w:t>
      </w:r>
    </w:p>
    <w:p>
      <w:r>
        <w:t>Before access, agree controls proportionate to the information: named accounts, least privilege, MFA, approved devices, secure sharing, encryption, logs, backup/recovery, access expiry and a tested exit method. Specify actual controls that can be met rather than publishing an unverified assurance. Do not put credentials in forms, emails or this repository.</w:t>
      </w:r>
    </w:p>
    <w:p>
      <w:r>
        <w:t>For any AI-assisted project activity, attach the relevant form B and verify purpose, input/output limits, provider training/retention settings and accountable human review. No sensitive information goes to public AI tools. AI output cannot replace clinical, care, safeguarding, legal, employment, financial or regulatory decisions.</w:t>
      </w:r>
    </w:p>
    <w:p>
      <w:r>
        <w:t>Record a designated incident lead, backup, client contact, reporting channel and contractual notification requirement. Follow SOP 09 for containment, evidence preservation, assessment, notification and recovery. Each party remains responsible for its own statutory obligations; coordination must not delay a required notification.</w:t>
      </w:r>
    </w:p>
    <w:p>
      <w:pPr>
        <w:pStyle w:val="Heading1"/>
      </w:pPr>
      <w:r>
        <w:rPr>
          <w:color w:val="000000"/>
          <w:u w:val="none"/>
        </w:rPr>
        <w:t>Retention return and deletion</w:t>
      </w:r>
    </w:p>
    <w:p>
      <w:r>
        <w:t>Complete a category-specific schedule before receiving project data. Distinguish working copies, final deliverables, contracts/finance records, access logs and backups. Record purpose, lawful retention or hold, agreed period/review trigger, responsible person, system, deletion/return method and evidence. Do not substitute a generic 30-day promise for statutory duties or provider capabilities.</w:t>
      </w:r>
    </w:p>
    <w:p>
      <w:r>
        <w:t>At close or on a lawful instruction, return the agreed information, revoke access and complete verified deletion through form E. Record any protected backup or lawful retention exception and its review/expiry date. A page reload or local-file deletion does not remove copies held by a provider, email recipient or backup.</w:t>
      </w:r>
    </w:p>
    <w:p>
      <w:pPr>
        <w:pStyle w:val="Heading1"/>
      </w:pPr>
      <w:r>
        <w:rPr>
          <w:color w:val="000000"/>
          <w:u w:val="none"/>
        </w:rPr>
        <w:t>Access correction deletion and complaints</w:t>
      </w:r>
    </w:p>
    <w:p>
      <w:r>
        <w:t>Provide a monitored contact and explain how a person can request access, correction or deletion, or raise a privacy concern. Use proportionate identity/authority checks, locate relevant records, apply applicable time limits and give reasons for any lawful refusal or retention requirement. Do not promise automatic deletion.</w:t>
      </w:r>
    </w:p>
    <w:p>
      <w:r>
        <w:t>Where Heutrix handles information on client instructions, coordinate the request with the client while meeting Heutrix's own obligations. Give relevant escalation options, including the OAIC for matters within its jurisdiction and the Victorian Health Complaints Commissioner for relevant Victorian health-information matters. Procedure details and record fields are in SOP 10 and form F.</w:t>
      </w:r>
    </w:p>
    <w:p>
      <w:pPr>
        <w:pStyle w:val="Heading1"/>
      </w:pPr>
      <w:r>
        <w:rPr>
          <w:color w:val="000000"/>
          <w:u w:val="none"/>
        </w:rPr>
        <w:t>Collection notice to tailor and give before collection</w:t>
      </w:r>
    </w:p>
    <w:p>
      <w:r>
        <w:t>Draft notice text. Replace every field and remove inapplicable statements only after review.</w:t>
      </w:r>
    </w:p>
    <w:p>
      <w:r>
        <w:t>Heutrix Pty Ltd (ABN 64 702 109 662; ACN 702 109 662) is collecting [INFORMATION CATEGORIES] from [SOURCES] for [SPECIFIC PURPOSE] in connection with [CLIENT AND PROJECT]. Contact [MONITORED PROJECT PRIVACY CONTACT] at [CONTACT DETAILS AND ADDRESS].</w:t>
      </w:r>
    </w:p>
    <w:p>
      <w:r>
        <w:t>Providing [FIELDS] is [OPTIONAL OR REQUIRED, WITH ANY LEGAL REQUIREMENT IDENTIFIED]. If you do not provide it, [ACTUAL CONSEQUENCES]. Please do not provide [PROHIBITED INFORMATION]. Use [APPROVED SECURE CHANNEL] for the authorised information.</w:t>
      </w:r>
    </w:p>
    <w:p>
      <w:r>
        <w:t>We use this information for [PURPOSES] and usually disclose it to [RECIPIENTS AND REASONS]. It may be processed or accessed in [COUNTRIES, INCLUDING SUPPORT/SUBPROCESSOR LOCATIONS WHERE PRACTICABLE]. [EXPLAIN RELEVANT ARRANGEMENTS WITHOUT UNVERIFIED RESIDENCY OR SECURITY PROMISES].</w:t>
      </w:r>
    </w:p>
    <w:p>
      <w:r>
        <w:t>We retain the information for [APPROVED PERIOD OR PURPOSE-BASED RULE], subject to [APPLICABLE LAWFUL RETENTION]. [POLICY LOCATION] explains how to request access, correction or deletion, make a complaint and obtain a response. Contact [MONITORED CHANNEL]. The client's privacy notice is available at [CLIENT NOTICE LOCATION, IF RELEVANT].</w:t>
      </w:r>
    </w:p>
    <w:p>
      <w:r>
        <w:t>Where separate consent is required for a specified sensitive-information collection or other activity, provide a specific, informed and appropriately designed consent request reviewed for that purpose. Acknowledging this notice is not blanket consent, and no preselected consent is authorised by this template.</w:t>
      </w:r>
    </w:p>
    <w:p>
      <w:pPr>
        <w:pStyle w:val="Heading1"/>
      </w:pPr>
      <w:r>
        <w:rPr>
          <w:color w:val="000000"/>
          <w:u w:val="none"/>
        </w:rPr>
        <w:t>Approval record</w:t>
      </w:r>
    </w:p>
    <w:p>
      <w:r>
        <w:t>Information flow and form A reference [COMPLETE]</w:t>
      </w:r>
    </w:p>
    <w:p>
      <w:r>
        <w:t>Applicable law and lawful authority assessment [COMPLETE]</w:t>
      </w:r>
    </w:p>
    <w:p>
      <w:r>
        <w:t>Provider location retention and security verification [COMPLETE]</w:t>
      </w:r>
    </w:p>
    <w:p>
      <w:r>
        <w:t>Client privacy contact approval and date [COMPLETE]</w:t>
      </w:r>
    </w:p>
    <w:p>
      <w:r>
        <w:t>Heutrix privacy and legal review approval and date [COMPLETE]</w:t>
      </w:r>
    </w:p>
    <w:p>
      <w:r>
        <w:t>Owner release approval effective date and supplied notice version [COMPLETE]</w:t>
      </w:r>
    </w:p>
    <w:p>
      <w:r>
        <w:t>Sources for legal review are in document 09. The published website policies and their approval record are in document 07. Complete client information and request records outside this repository.</w:t>
      </w:r>
    </w:p>
    <w:sectPr w:rsidR="00FC693F" w:rsidRPr="0006063C" w:rsidSect="00034616">
      <w:headerReference w:type="default" r:id="rId9"/>
      <w:footerReference w:type="default" r:id="rId10"/>
      <w:headerReference w:type="first" r:id="rId11"/>
      <w:footerReference w:type="first" r:id="rId12"/>
      <w:pgSz w:w="11909" w:h="16834"/>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ABN 64 702 109 662 | ACN 702 109 662 | v2.0 review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HEUTRIX | 06 | REVIEW DRAFT - DO NOT ISSUE OR SIGN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Heutrix</dc:creator>
  <cp:keywords/>
  <dc:description>Controlled review draft. Approval is recorded separately.</dc:description>
  <cp:lastModifiedBy>Heutrix</cp:lastModifiedBy>
  <cp:revision>1</cp:revision>
  <dcterms:created xsi:type="dcterms:W3CDTF">2013-12-23T23:15:00Z</dcterms:created>
  <dcterms:modified xsi:type="dcterms:W3CDTF">2013-12-23T23:15:00Z</dcterms:modified>
  <cp:category/>
  <cp:version>2.0 review</cp:version>
</cp:coreProperties>
</file>