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approved website policy reference</w:t>
      </w:r>
    </w:p>
    <w:p>
      <w:r>
        <w:t>Prepared 13 September 2026 | Reference guide only</w:t>
      </w:r>
    </w:p>
    <w:p>
      <w:r>
        <w:t>Heutrix Pty Ltd | ABN 64 702 109 662 | ACN 702 109 662</w:t>
      </w:r>
    </w:p>
    <w:p>
      <w:r>
        <w:t>The owner approved the website privacy policy and terms on 12 September 2026 and waived independent review for that website launch. Both were published on 13 September. Use these public pages for the website, ungated general resources, initial business enquiries, referrals and their follow-up.</w:t>
      </w:r>
    </w:p>
    <w:p>
      <w:r>
        <w:t>Privacy policy and data handling</w:t>
      </w:r>
    </w:p>
    <w:p>
      <w:r>
        <w:t>https://heutrix-website.heutrix.workers.dev/privacy-and-data-handling</w:t>
      </w:r>
    </w:p>
    <w:p>
      <w:r>
        <w:t>Website terms of use</w:t>
      </w:r>
    </w:p>
    <w:p>
      <w:r>
        <w:t>https://heutrix-website.heutrix.workers.dev/terms-of-use</w:t>
      </w:r>
    </w:p>
    <w:p>
      <w:r>
        <w:t>Approval deployment and rollback record</w:t>
      </w:r>
    </w:p>
    <w:p>
      <w:r>
        <w:t>https://github.com/Heutrix/heutrix-website/pull/16</w:t>
      </w:r>
    </w:p>
    <w:p>
      <w:r>
        <w:t>Approved content commit 4b8f993697346d291ebca3a5cb15f7178682720b; merged main commit 98d0ad9a4eea945f8dcd4e5172e1fa22dde212f5; Worker version d6df0070-ebdb-4c2d-9e94-cb13e02fe2b9. These identify the recorded release, not a claim that later releases cannot occur.</w:t>
      </w:r>
    </w:p>
    <w:p>
      <w:pPr>
        <w:pStyle w:val="Heading1"/>
      </w:pPr>
      <w:r>
        <w:rPr>
          <w:color w:val="000000"/>
          <w:u w:val="none"/>
        </w:rPr>
        <w:t>When to use these policies</w:t>
      </w:r>
    </w:p>
    <w:p>
      <w:r>
        <w:t>Link to them when a person makes an initial enquiry, asks about website privacy, uses a general resource or requests information about the public website. Formspree holds submitted requests and sends notifications to hello@heutrix.com.au. Closing the page or clearing a draft does not delete provider/email copies. Resource downloads do not subscribe a person to marketing, and a form receipt does not book a meeting.</w:t>
      </w:r>
    </w:p>
    <w:p>
      <w:r>
        <w:t>Shashane handles enquiries with Rochelle as backup. Privacy requests use hello@heutrix.com.au. Check the actual provider inbox and quota through SOP 01. Do not claim that a new CRM, calendar, AI tool or client-data system is approved.</w:t>
      </w:r>
    </w:p>
    <w:p>
      <w:pPr>
        <w:pStyle w:val="Heading1"/>
      </w:pPr>
      <w:r>
        <w:rPr>
          <w:color w:val="000000"/>
          <w:u w:val="none"/>
        </w:rPr>
        <w:t>Version boundaries</w:t>
      </w:r>
    </w:p>
    <w:p>
      <w:r>
        <w:t>The old v1 privacy policy, collection notices and website terms are historical drafts and must not be published. The v2 project privacy document is a separate review draft for project-specific arrangements; it does not replace these website policies. The website review waiver does not approve the CSA, NDA, order forms, SOWs or project controls.</w:t>
      </w:r>
    </w:p>
    <w:p>
      <w:r>
        <w:t>If forms, providers, tracking, information uses, retention or contacts change, follow SOP 11, approve the changed notices and preserve a dated release record. Do not change approved public wording through a client-pack reissue.</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07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