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MASTER AGREEMENT</w:t>
      </w:r>
    </w:p>
    <w:p>
      <w:pPr>
        <w:pStyle w:val="Title"/>
        <w:spacing w:before="0" w:after="120"/>
      </w:pPr>
      <w:r>
        <w:rPr>
          <w:rFonts w:ascii="Calibri" w:hAnsi="Calibri"/>
          <w:b/>
          <w:color w:val="000000"/>
          <w:sz w:val="56"/>
          <w:u w:val="none"/>
        </w:rPr>
        <w:t>Client Services Agreement</w:t>
      </w:r>
    </w:p>
    <w:p>
      <w:pPr>
        <w:spacing w:before="0" w:after="320"/>
      </w:pPr>
      <w:r>
        <w:rPr>
          <w:rFonts w:ascii="Calibri" w:hAnsi="Calibri"/>
          <w:color w:val="000000"/>
          <w:sz w:val="26"/>
        </w:rPr>
        <w:t>Workflow improvement, practical systems and controlled AI support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ACN / ABN</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Agreement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2.2 review draft | 13 September 2026</w:t>
            </w:r>
          </w:p>
        </w:tc>
      </w:tr>
    </w:tbl>
    <w:p>
      <w:pPr>
        <w:spacing w:before="0" w:after="0"/>
      </w:pPr>
      <w:r>
        <w:rPr>
          <w:rFonts w:ascii="Calibri" w:hAnsi="Calibri"/>
          <w:b/>
          <w:color w:val="17324D"/>
          <w:sz w:val="20"/>
        </w:rPr>
        <w:t xml:space="preserve">How this agreement works: </w:t>
      </w:r>
      <w:r>
        <w:rPr>
          <w:rFonts w:ascii="Calibri" w:hAnsi="Calibri"/>
          <w:color w:val="20262E"/>
          <w:sz w:val="20"/>
        </w:rPr>
        <w:t>This agreement contains the standing terms. Each project starts only when both parties sign an Order Form or Statement of Work (SOW). Data access and AI use must also be expressly approved where relevant.</w:t>
      </w:r>
    </w:p>
    <w:p>
      <w:pPr/>
      <w:r>
        <w:t>REVIEW DRAFT. Complete document 09 approvals and every required field before client issue. No legal review, business approval or effective date is recorded by this file. Keep completed client copies outside this repository.</w:t>
      </w:r>
    </w:p>
    <w:p>
      <w:pPr/>
      <w:r>
        <w:t xml:space="preserve">Heutrix business and notices address: 4 Ellaroo Ct, Clyde North VIC 3978, Australia. Owner-confirmed authorised signatories: Janith Dharmasinghe and Sachin Wickramasuriya, Directors. Formal notice email </w:t>
      </w:r>
      <w:r>
        <w:rPr>
          <w:highlight w:val="yellow"/>
        </w:rPr>
        <w:t xml:space="preserve">[Placeholder]</w:t>
      </w:r>
      <w:r>
        <w:t xml:space="preserve"> (APPROVE); execution method and signatory selection for this document </w:t>
      </w:r>
      <w:r>
        <w:rPr>
          <w:highlight w:val="yellow"/>
        </w:rPr>
        <w:t xml:space="preserve">[Placeholder]</w:t>
      </w:r>
      <w:r>
        <w:t xml:space="preserve"> (COMPLETE AFTER REVIEW). Client notice address and authorised signatory </w:t>
      </w:r>
      <w:r>
        <w:rPr>
          <w:highlight w:val="yellow"/>
        </w:rPr>
        <w:t xml:space="preserve">[Placeholder]</w:t>
      </w:r>
      <w:r>
        <w:t xml:space="preserve"> (COMPLETE).</w:t>
      </w:r>
    </w:p>
    <w:p>
      <w:pPr>
        <w:pStyle w:val="Heading1"/>
      </w:pPr>
      <w:r>
        <w:rPr>
          <w:color w:val="000000"/>
          <w:u w:val="none"/>
        </w:rPr>
        <w:t>1. Agreement structure</w:t>
      </w:r>
    </w:p>
    <w:p>
      <w:r>
        <w:rPr>
          <w:rFonts w:ascii="Calibri" w:hAnsi="Calibri"/>
          <w:i w:val="0"/>
        </w:rPr>
        <w:t>This Client Services Agreement is between Heutrix Pty Ltd (Heutrix) and the Client identified above. It starts on the Agreement date and applies to every SOW signed under it.</w:t>
      </w:r>
    </w:p>
    <w:p>
      <w:r>
        <w:rPr>
          <w:rFonts w:ascii="Calibri" w:hAnsi="Calibri"/>
          <w:i w:val="0"/>
        </w:rPr>
        <w:t>A SOW may add project-specific terms. A variation to this agreement must identify the clause changed and be signed by authorised representatives. Subject to non-excludable law, the order for an expressly agreed inconsistency is: signed Special Conditions identifying the variation; signed SOW; activated data or AI schedule; this agreement. A general scope description does not override an express data prohibition or approve AI. A purchase order is administrative only unless both parties sign an amendment.</w:t>
      </w:r>
    </w:p>
    <w:p>
      <w:r>
        <w:rPr>
          <w:rFonts w:ascii="Calibri" w:hAnsi="Calibri"/>
          <w:i w:val="0"/>
        </w:rPr>
        <w:t>No project begins by implication. A proposal, estimate, workshop discussion or email is not a SOW unless it clearly identifies itself as one and is signed by both parties.</w:t>
      </w:r>
    </w:p>
    <w:p>
      <w:pPr>
        <w:pStyle w:val="Heading1"/>
      </w:pPr>
      <w:r>
        <w:rPr>
          <w:color w:val="000000"/>
          <w:u w:val="none"/>
        </w:rPr>
        <w:t>2. Definitions</w:t>
      </w:r>
    </w:p>
    <w:p>
      <w:pPr>
        <w:ind w:left="259" w:hanging="259"/>
      </w:pPr>
      <w:r>
        <w:rPr>
          <w:rFonts w:ascii="Calibri" w:hAnsi="Calibri"/>
          <w:b/>
          <w:color w:val="17324D"/>
        </w:rPr>
        <w:t xml:space="preserve">Acceptance Criteria. </w:t>
      </w:r>
      <w:r>
        <w:rPr>
          <w:rFonts w:ascii="Calibri" w:hAnsi="Calibri"/>
        </w:rPr>
        <w:t>the objective criteria stated in the SOW for determining whether a Deliverable is complete</w:t>
      </w:r>
    </w:p>
    <w:p>
      <w:pPr>
        <w:ind w:left="259" w:hanging="259"/>
      </w:pPr>
      <w:r>
        <w:rPr>
          <w:rFonts w:ascii="Calibri" w:hAnsi="Calibri"/>
          <w:b/>
          <w:color w:val="17324D"/>
        </w:rPr>
        <w:t xml:space="preserve">Applicable Privacy Law. </w:t>
      </w:r>
      <w:r>
        <w:rPr>
          <w:rFonts w:ascii="Calibri" w:hAnsi="Calibri"/>
        </w:rPr>
        <w:t>the Privacy Act 1988 (Cth), Australian Privacy Principles, Health Records Act 2001 (Vic), applicable State or Territory health-records laws, and any other privacy, data-protection or breach-notification law binding on a party or the relevant handling</w:t>
      </w:r>
    </w:p>
    <w:p>
      <w:pPr>
        <w:ind w:left="259" w:hanging="259"/>
      </w:pPr>
      <w:r>
        <w:rPr>
          <w:rFonts w:ascii="Calibri" w:hAnsi="Calibri"/>
          <w:b/>
          <w:color w:val="17324D"/>
        </w:rPr>
        <w:t xml:space="preserve">Background Materials. </w:t>
      </w:r>
      <w:r>
        <w:rPr>
          <w:rFonts w:ascii="Calibri" w:hAnsi="Calibri"/>
        </w:rPr>
        <w:t>methods, templates, software, know-how, prompts, libraries, processes and other materials developed independently of the SOW or used generally across projects</w:t>
      </w:r>
    </w:p>
    <w:p>
      <w:pPr>
        <w:ind w:left="259" w:hanging="259"/>
      </w:pPr>
      <w:r>
        <w:rPr>
          <w:rFonts w:ascii="Calibri" w:hAnsi="Calibri"/>
          <w:b/>
          <w:color w:val="17324D"/>
        </w:rPr>
        <w:t xml:space="preserve">Client Data. </w:t>
      </w:r>
      <w:r>
        <w:rPr>
          <w:rFonts w:ascii="Calibri" w:hAnsi="Calibri"/>
        </w:rPr>
        <w:t>information, records, content, credentials or data made available by or for the Client, including Personal Information</w:t>
      </w:r>
    </w:p>
    <w:p>
      <w:pPr>
        <w:ind w:left="259" w:hanging="259"/>
      </w:pPr>
      <w:r>
        <w:rPr>
          <w:rFonts w:ascii="Calibri" w:hAnsi="Calibri"/>
          <w:b/>
          <w:color w:val="17324D"/>
        </w:rPr>
        <w:t xml:space="preserve">Client Materials. </w:t>
      </w:r>
      <w:r>
        <w:rPr>
          <w:rFonts w:ascii="Calibri" w:hAnsi="Calibri"/>
        </w:rPr>
        <w:t>Client Data and all documents, systems, branding, IP and other materials supplied or licensed by the Client</w:t>
      </w:r>
    </w:p>
    <w:p>
      <w:pPr>
        <w:ind w:left="259" w:hanging="259"/>
      </w:pPr>
      <w:r>
        <w:rPr>
          <w:rFonts w:ascii="Calibri" w:hAnsi="Calibri"/>
          <w:b/>
          <w:color w:val="17324D"/>
        </w:rPr>
        <w:t xml:space="preserve">Confidential Information. </w:t>
      </w:r>
      <w:r>
        <w:rPr>
          <w:rFonts w:ascii="Calibri" w:hAnsi="Calibri"/>
        </w:rPr>
        <w:t>non-public business, technical, financial, security, personal or operational information disclosed in any form, including the terms of a SOW</w:t>
      </w:r>
    </w:p>
    <w:p>
      <w:pPr>
        <w:ind w:left="259" w:hanging="259"/>
      </w:pPr>
      <w:r>
        <w:rPr>
          <w:rFonts w:ascii="Calibri" w:hAnsi="Calibri"/>
          <w:b/>
          <w:color w:val="17324D"/>
        </w:rPr>
        <w:t xml:space="preserve">Deliverable. </w:t>
      </w:r>
      <w:r>
        <w:rPr>
          <w:rFonts w:ascii="Calibri" w:hAnsi="Calibri"/>
        </w:rPr>
        <w:t>an output expressly identified as a deliverable in a SOW</w:t>
      </w:r>
    </w:p>
    <w:p>
      <w:pPr>
        <w:ind w:left="259" w:hanging="259"/>
      </w:pPr>
      <w:r>
        <w:rPr>
          <w:rFonts w:ascii="Calibri" w:hAnsi="Calibri"/>
          <w:b/>
          <w:color w:val="17324D"/>
        </w:rPr>
        <w:t xml:space="preserve">Personal Information. </w:t>
      </w:r>
      <w:r>
        <w:rPr>
          <w:rFonts w:ascii="Calibri" w:hAnsi="Calibri"/>
        </w:rPr>
        <w:t>personal information, sensitive information and health information as defined by Applicable Privacy Law</w:t>
      </w:r>
    </w:p>
    <w:p>
      <w:pPr>
        <w:ind w:left="259" w:hanging="259"/>
      </w:pPr>
      <w:r>
        <w:rPr>
          <w:rFonts w:ascii="Calibri" w:hAnsi="Calibri"/>
          <w:b/>
          <w:color w:val="17324D"/>
        </w:rPr>
        <w:t xml:space="preserve">Security Incident. </w:t>
      </w:r>
      <w:r>
        <w:rPr>
          <w:rFonts w:ascii="Calibri" w:hAnsi="Calibri"/>
        </w:rPr>
        <w:t>actual or reasonably suspected unauthorised access, disclosure, loss, alteration, destruction or unavailability of Client Data, or compromise of a system used to handle Client Data</w:t>
      </w:r>
    </w:p>
    <w:p>
      <w:pPr>
        <w:ind w:left="259" w:hanging="259"/>
      </w:pPr>
      <w:r>
        <w:rPr>
          <w:rFonts w:ascii="Calibri" w:hAnsi="Calibri"/>
          <w:b/>
          <w:color w:val="17324D"/>
        </w:rPr>
        <w:t xml:space="preserve">Services. </w:t>
      </w:r>
      <w:r>
        <w:rPr>
          <w:rFonts w:ascii="Calibri" w:hAnsi="Calibri"/>
        </w:rPr>
        <w:t>the services described in a signed SOW</w:t>
      </w:r>
    </w:p>
    <w:p>
      <w:pPr>
        <w:ind w:left="259" w:hanging="259"/>
      </w:pPr>
      <w:r>
        <w:rPr>
          <w:rFonts w:ascii="Calibri" w:hAnsi="Calibri"/>
          <w:b/>
          <w:color w:val="17324D"/>
        </w:rPr>
        <w:t xml:space="preserve">SOW. </w:t>
      </w:r>
      <w:r>
        <w:rPr>
          <w:rFonts w:ascii="Calibri" w:hAnsi="Calibri"/>
        </w:rPr>
        <w:t>an Order Form, Statement of Work or change request signed by both parties under this agreement</w:t>
      </w:r>
    </w:p>
    <w:p>
      <w:pPr>
        <w:pStyle w:val="Heading1"/>
      </w:pPr>
      <w:r>
        <w:rPr>
          <w:color w:val="000000"/>
          <w:u w:val="none"/>
        </w:rPr>
        <w:t>3. Services and professional standard</w:t>
      </w:r>
    </w:p>
    <w:p>
      <w:r>
        <w:rPr>
          <w:rFonts w:ascii="Calibri" w:hAnsi="Calibri"/>
          <w:i w:val="0"/>
        </w:rPr>
        <w:t>Heutrix will perform the Services with due care and skill, using appropriately skilled personnel, in accordance with the signed SOW and applicable laws. Heutrix will keep the Client reasonably informed of material progress, assumptions, risks and decisions required from the Client.</w:t>
      </w:r>
    </w:p>
    <w:p>
      <w:r>
        <w:rPr>
          <w:rFonts w:ascii="Calibri" w:hAnsi="Calibri"/>
          <w:i w:val="0"/>
        </w:rPr>
        <w:t>Heutrix may use employees and subcontractors and remains responsible for their performance. A subcontractor may access Personal Information or Client systems only if approved as required by the Data Handling Schedule and bound by written obligations no less protective than the relevant obligations in this agreement.</w:t>
      </w:r>
    </w:p>
    <w:p>
      <w:r>
        <w:rPr>
          <w:rFonts w:ascii="Calibri" w:hAnsi="Calibri"/>
          <w:i w:val="0"/>
        </w:rPr>
        <w:t>Heutrix provides Heutrix Diagnostics, Heutrix Workflow Transformation and Heutrix AI Guardrails for non-clinical operational work. Services exclude legal, tax, financial, employment, clinical, medical, regulatory, official audit, NDIS registration readiness, mock audit, compliance assurance, certification and medical-device advice. This pack does not establish capability or authority to provide regulated services.</w:t>
      </w:r>
    </w:p>
    <w:p>
      <w:r>
        <w:rPr>
          <w:rFonts w:ascii="Calibri" w:hAnsi="Calibri"/>
          <w:i w:val="0"/>
        </w:rPr>
        <w:t>Recommendations are based on the information, access and assumptions available at the time. Heutrix does not guarantee cost savings, revenue, productivity, registration, compliance, regulatory approval or other business outcomes.</w:t>
      </w:r>
    </w:p>
    <w:p>
      <w:pPr>
        <w:pStyle w:val="Heading1"/>
      </w:pPr>
      <w:r>
        <w:rPr>
          <w:color w:val="000000"/>
          <w:u w:val="none"/>
        </w:rPr>
        <w:t>4. Client responsibilities</w:t>
      </w:r>
    </w:p>
    <w:p>
      <w:pPr>
        <w:spacing w:before="0" w:after="160" w:line="280" w:lineRule="auto"/>
        <w:numPr>
          <w:ilvl w:val="0"/>
          <w:numId w:val="10"/>
        </w:numPr>
      </w:pPr>
      <w:r>
        <w:rPr>
          <w:rFonts w:ascii="Calibri" w:hAnsi="Calibri"/>
        </w:rPr>
        <w:t>Give timely, accurate and complete information, decisions, approvals, access and feedback reasonably required for the Services.</w:t>
      </w:r>
    </w:p>
    <w:p>
      <w:pPr>
        <w:spacing w:before="0" w:after="160" w:line="280" w:lineRule="auto"/>
        <w:numPr>
          <w:ilvl w:val="0"/>
          <w:numId w:val="10"/>
        </w:numPr>
      </w:pPr>
      <w:r>
        <w:rPr>
          <w:rFonts w:ascii="Calibri" w:hAnsi="Calibri"/>
        </w:rPr>
        <w:t>Appoint an authorised project owner and appropriate reviewers, including privacy, security, clinical, safeguarding or professional reviewers where relevant.</w:t>
      </w:r>
    </w:p>
    <w:p>
      <w:pPr>
        <w:spacing w:before="0" w:after="160" w:line="280" w:lineRule="auto"/>
        <w:numPr>
          <w:ilvl w:val="0"/>
          <w:numId w:val="10"/>
        </w:numPr>
      </w:pPr>
      <w:r>
        <w:rPr>
          <w:rFonts w:ascii="Calibri" w:hAnsi="Calibri"/>
        </w:rPr>
        <w:t>Ensure it has lawful authority to provide Client Materials and instructions, and that required notices, consents and permissions are in place.</w:t>
      </w:r>
    </w:p>
    <w:p>
      <w:pPr>
        <w:spacing w:before="0" w:after="160" w:line="280" w:lineRule="auto"/>
        <w:numPr>
          <w:ilvl w:val="0"/>
          <w:numId w:val="10"/>
        </w:numPr>
      </w:pPr>
      <w:r>
        <w:rPr>
          <w:rFonts w:ascii="Calibri" w:hAnsi="Calibri"/>
        </w:rPr>
        <w:t>Maintain backups, business continuity, user administration and security for Client-controlled systems unless the SOW expressly allocates a task to Heutrix.</w:t>
      </w:r>
    </w:p>
    <w:p>
      <w:pPr>
        <w:spacing w:before="0" w:after="160" w:line="280" w:lineRule="auto"/>
        <w:numPr>
          <w:ilvl w:val="0"/>
          <w:numId w:val="10"/>
        </w:numPr>
      </w:pPr>
      <w:r>
        <w:rPr>
          <w:rFonts w:ascii="Calibri" w:hAnsi="Calibri"/>
        </w:rPr>
        <w:t>Review Deliverables and all material outputs before operational use, especially where they affect patients, participants, workers, safety, rights, payments, compliance or professional obligations.</w:t>
      </w:r>
    </w:p>
    <w:p>
      <w:pPr>
        <w:spacing w:before="0" w:after="160" w:line="280" w:lineRule="auto"/>
        <w:numPr>
          <w:ilvl w:val="0"/>
          <w:numId w:val="10"/>
        </w:numPr>
      </w:pPr>
      <w:r>
        <w:rPr>
          <w:rFonts w:ascii="Calibri" w:hAnsi="Calibri"/>
        </w:rPr>
        <w:t>Not provide live Personal Information, credentials or production access until the data and access controls required by this agreement and the SOW are approved.</w:t>
      </w:r>
    </w:p>
    <w:p>
      <w:r>
        <w:rPr>
          <w:rFonts w:ascii="Calibri" w:hAnsi="Calibri"/>
          <w:i w:val="0"/>
        </w:rPr>
        <w:t>Heutrix is not responsible for delay to the extent caused by the Client's failure to meet a dependency. Heutrix must notify the Client promptly, explain the effect and take reasonable steps to minimise avoidable delay.</w:t>
      </w:r>
    </w:p>
    <w:p>
      <w:pPr>
        <w:pStyle w:val="Heading1"/>
      </w:pPr>
      <w:r>
        <w:rPr>
          <w:color w:val="000000"/>
          <w:u w:val="none"/>
        </w:rPr>
        <w:t>5. Project governance, changes and acceptance</w:t>
      </w:r>
    </w:p>
    <w:p>
      <w:r>
        <w:rPr>
          <w:rFonts w:ascii="Calibri" w:hAnsi="Calibri"/>
          <w:i w:val="0"/>
        </w:rPr>
        <w:t>Each party will nominate a project contact. Project contacts may make day-to-day decisions within the signed scope but cannot change fees, liability, IP ownership, data categories, AI approval or other material terms without a signed change request.</w:t>
      </w:r>
    </w:p>
    <w:p>
      <w:r>
        <w:rPr>
          <w:rFonts w:ascii="Calibri" w:hAnsi="Calibri"/>
          <w:i w:val="0"/>
        </w:rPr>
        <w:t>If either party identifies a scope, timing, cost, data, security or dependency change, Heutrix will document the proposed impact. Neither party must proceed with the changed work until both parties sign the change request, except for reasonable emergency steps needed to protect people, data or systems.</w:t>
      </w:r>
    </w:p>
    <w:p>
      <w:r>
        <w:rPr>
          <w:rFonts w:ascii="Calibri" w:hAnsi="Calibri"/>
          <w:i w:val="0"/>
        </w:rPr>
        <w:t xml:space="preserve">The Client will review each Deliverable against the Acceptance Criteria within </w:t>
      </w:r>
      <w:r>
        <w:rPr>
          <w:rFonts w:ascii="Calibri" w:hAnsi="Calibri"/>
          <w:i w:val="0"/>
          <w:highlight w:val="yellow"/>
        </w:rPr>
        <w:t xml:space="preserve">[Placeholder]</w:t>
      </w:r>
      <w:r>
        <w:rPr>
          <w:rFonts w:ascii="Calibri" w:hAnsi="Calibri"/>
          <w:i w:val="0"/>
        </w:rPr>
        <w:t xml:space="preserve"> (APPROVE review period) business days as stated in the SOW, and give written acceptance or specific evidence of non-conformity. Heutrix will correct an in-scope material non-conformity within a reasonable agreed period and resubmit it. The SOW states included refinement rounds and the separate defect procedure.</w:t>
      </w:r>
    </w:p>
    <w:p>
      <w:r>
        <w:rPr>
          <w:rFonts w:ascii="Calibri" w:hAnsi="Calibri"/>
          <w:i w:val="0"/>
        </w:rPr>
        <w:t>If the Client does not respond by the agreed review date, Heutrix will remind the Client and escalate to the nominated decision-maker. Silence does not constitute acceptance. The parties will agree the resulting schedule and any properly payable milestone under the signed SOW. Acceptance does not waive latent defects, express warranties, consumer guarantees or non-excludable rights.</w:t>
      </w:r>
    </w:p>
    <w:p>
      <w:pPr>
        <w:pStyle w:val="Heading1"/>
      </w:pPr>
      <w:r>
        <w:rPr>
          <w:color w:val="000000"/>
          <w:u w:val="none"/>
        </w:rPr>
        <w:t>6. Fees, GST and payment</w:t>
      </w:r>
    </w:p>
    <w:p>
      <w:r>
        <w:rPr>
          <w:rFonts w:ascii="Calibri" w:hAnsi="Calibri"/>
          <w:i w:val="0"/>
        </w:rPr>
        <w:t xml:space="preserve">The Client will pay only the fees and approved expenses in the signed SOW. Payment milestones, invoice triggers, advance payments and the due period of </w:t>
      </w:r>
      <w:r>
        <w:rPr>
          <w:rFonts w:ascii="Calibri" w:hAnsi="Calibri"/>
          <w:i w:val="0"/>
          <w:highlight w:val="yellow"/>
        </w:rPr>
        <w:t xml:space="preserve">[Placeholder]</w:t>
      </w:r>
      <w:r>
        <w:rPr>
          <w:rFonts w:ascii="Calibri" w:hAnsi="Calibri"/>
          <w:i w:val="0"/>
        </w:rPr>
        <w:t xml:space="preserve"> (APPROVE payment period) calendar days must be completed before signature. No public price, automatic Diagnostics fee credit or unapproved expense is incorporated.</w:t>
      </w:r>
    </w:p>
    <w:p>
      <w:r>
        <w:rPr>
          <w:rFonts w:ascii="Calibri" w:hAnsi="Calibri"/>
          <w:i w:val="0"/>
        </w:rPr>
        <w:t>The SOW must state the base fee, any lawfully payable GST and total payable. The verified 8 September 2026 record states Heutrix is not currently registered for GST. Recheck status before issue: do not add GST or label an invoice a tax invoice while not registered. If registration or a taxable supply treatment changes, apply the reviewed contractual adjustment and valid invoice requirements; no automatic tax uplift is approved by this draft.</w:t>
      </w:r>
    </w:p>
    <w:p>
      <w:r>
        <w:rPr>
          <w:rFonts w:ascii="Calibri" w:hAnsi="Calibri"/>
          <w:i w:val="0"/>
        </w:rPr>
        <w:t xml:space="preserve">The Client may dispute an invoice in good faith by giving reasons promptly, using the process and response period </w:t>
      </w:r>
      <w:r>
        <w:rPr>
          <w:rFonts w:ascii="Calibri" w:hAnsi="Calibri"/>
          <w:i w:val="0"/>
          <w:highlight w:val="yellow"/>
        </w:rPr>
        <w:t xml:space="preserve">[Placeholder]</w:t>
      </w:r>
      <w:r>
        <w:rPr>
          <w:rFonts w:ascii="Calibri" w:hAnsi="Calibri"/>
          <w:i w:val="0"/>
        </w:rPr>
        <w:t xml:space="preserve"> (APPROVE) stated in the SOW. It must pay the undisputed amount by the due date. The parties will work promptly to resolve the disputed part. Any recovery costs or interest require an expressly agreed, legally reviewed and proportionate term; none is added by default.</w:t>
      </w:r>
    </w:p>
    <w:p>
      <w:r>
        <w:rPr>
          <w:rFonts w:ascii="Calibri" w:hAnsi="Calibri"/>
          <w:i w:val="0"/>
        </w:rPr>
        <w:t>Heutrix may require an advance payment stated in the SOW. Advance payments are applied to the Services and are not automatically non-refundable. If the agreement or SOW ends, Heutrix will refund any amount paid for Services not performed, less fees for work properly performed and unavoidable third-party costs approved or disclosed in the SOW.</w:t>
      </w:r>
    </w:p>
    <w:p>
      <w:pPr>
        <w:pStyle w:val="Heading1"/>
      </w:pPr>
      <w:r>
        <w:rPr>
          <w:color w:val="000000"/>
          <w:u w:val="none"/>
        </w:rPr>
        <w:t>7. Intellectual property</w:t>
      </w:r>
    </w:p>
    <w:p>
      <w:r>
        <w:rPr>
          <w:rFonts w:ascii="Calibri" w:hAnsi="Calibri"/>
          <w:i w:val="0"/>
        </w:rPr>
        <w:t>Each party retains ownership of its pre-existing IP and Background Materials. The Client grants Heutrix a limited, non-exclusive licence to use Client Materials only to perform the Services and meet legal obligations.</w:t>
      </w:r>
    </w:p>
    <w:p>
      <w:r>
        <w:rPr>
          <w:rFonts w:ascii="Calibri" w:hAnsi="Calibri"/>
          <w:i w:val="0"/>
        </w:rPr>
        <w:t>The SOW must select and fully describe the Deliverable IP model before signature. No model is selected by default. Where the SOW selects client ownership, Heutrix assigns its rights in project-specific Deliverables on the agreed payment condition, excluding Background Materials and third-party materials. The scope identifies source/editable exports and any further assignment steps and costs.</w:t>
      </w:r>
    </w:p>
    <w:p>
      <w:r>
        <w:rPr>
          <w:rFonts w:ascii="Calibri" w:hAnsi="Calibri"/>
          <w:i w:val="0"/>
        </w:rPr>
        <w:t>Heutrix retains all Background Materials. To the extent Background Materials are embedded in a Client-owned Deliverable, Heutrix grants the Client a perpetual, worldwide, royalty-free, non-exclusive licence to use, copy, modify and have them maintained as part of that Deliverable for the Client's internal business purposes.</w:t>
      </w:r>
    </w:p>
    <w:p>
      <w:r>
        <w:rPr>
          <w:rFonts w:ascii="Calibri" w:hAnsi="Calibri"/>
          <w:i w:val="0"/>
        </w:rPr>
        <w:t>If the SOW selects a Heutrix-licensed solution, the SOW will state the licence scope, users, term, support, portability and exit rights. Neither party may remove ownership notices or use the other party's branding, name, testimonial or case study without prior written consent.</w:t>
      </w:r>
    </w:p>
    <w:p>
      <w:pPr>
        <w:pStyle w:val="Heading1"/>
      </w:pPr>
      <w:r>
        <w:rPr>
          <w:color w:val="000000"/>
          <w:u w:val="none"/>
        </w:rPr>
        <w:t>8. Third-party products and open-source materials</w:t>
      </w:r>
    </w:p>
    <w:p>
      <w:r>
        <w:rPr>
          <w:rFonts w:ascii="Calibri" w:hAnsi="Calibri"/>
          <w:i w:val="0"/>
        </w:rPr>
        <w:t>A SOW must identify material third-party products, platforms and licence costs known at signing. Third-party terms apply between the Client and the relevant provider where the Client contracts directly. Heutrix will not accept third-party terms for the Client without written authority.</w:t>
      </w:r>
    </w:p>
    <w:p>
      <w:r>
        <w:rPr>
          <w:rFonts w:ascii="Calibri" w:hAnsi="Calibri"/>
          <w:i w:val="0"/>
        </w:rPr>
        <w:t>Heutrix will not knowingly include material subject to a licence that requires disclosure of the Client's proprietary source code or materials without the Client's prior written approval. Heutrix is not responsible for a third-party outage, change or defect outside its reasonable control, but will provide reasonable assistance within the SOW or an approved change request.</w:t>
      </w:r>
    </w:p>
    <w:p>
      <w:pPr>
        <w:pStyle w:val="Heading1"/>
      </w:pPr>
      <w:r>
        <w:rPr>
          <w:color w:val="000000"/>
          <w:u w:val="none"/>
        </w:rPr>
        <w:t>9. Confidentiality</w:t>
      </w:r>
    </w:p>
    <w:p>
      <w:r>
        <w:rPr>
          <w:rFonts w:ascii="Calibri" w:hAnsi="Calibri"/>
          <w:i w:val="0"/>
        </w:rPr>
        <w:t>The receiving party may use Confidential Information only for the agreement and may disclose it only to personnel, professional advisers and approved subcontractors who need it and are bound by confidentiality obligations. It must protect the information with at least reasonable care and promptly notify the disclosing party of known unauthorised use or disclosure.</w:t>
      </w:r>
    </w:p>
    <w:p>
      <w:r>
        <w:rPr>
          <w:rFonts w:ascii="Calibri" w:hAnsi="Calibri"/>
          <w:i w:val="0"/>
        </w:rPr>
        <w:t>Confidentiality does not apply to information the receiving party can demonstrate was lawfully known without restriction, independently developed, received lawfully from another source without restriction, or public other than through breach. If disclosure is legally required, the receiving party will, where lawful, give prompt notice and disclose only what is required.</w:t>
      </w:r>
    </w:p>
    <w:p>
      <w:r>
        <w:rPr>
          <w:rFonts w:ascii="Calibri" w:hAnsi="Calibri"/>
          <w:i w:val="0"/>
        </w:rPr>
        <w:t xml:space="preserve">These obligations continue for </w:t>
      </w:r>
      <w:r>
        <w:rPr>
          <w:rFonts w:ascii="Calibri" w:hAnsi="Calibri"/>
          <w:i w:val="0"/>
          <w:highlight w:val="yellow"/>
        </w:rPr>
        <w:t xml:space="preserve">[Placeholder]</w:t>
      </w:r>
      <w:r>
        <w:rPr>
          <w:rFonts w:ascii="Calibri" w:hAnsi="Calibri"/>
          <w:i w:val="0"/>
        </w:rPr>
        <w:t xml:space="preserve"> (APPROVE confidentiality survival period) after disclosure, and for trade secrets and Personal Information for as long as the information remains protected by law or confidential in nature.</w:t>
      </w:r>
    </w:p>
    <w:p>
      <w:pPr>
        <w:pStyle w:val="Heading1"/>
      </w:pPr>
      <w:r>
        <w:rPr>
          <w:color w:val="000000"/>
          <w:u w:val="none"/>
        </w:rPr>
        <w:t>10. Privacy and security</w:t>
      </w:r>
    </w:p>
    <w:p>
      <w:r>
        <w:rPr>
          <w:rFonts w:ascii="Calibri" w:hAnsi="Calibri"/>
          <w:i w:val="0"/>
        </w:rPr>
        <w:t>Each party will comply with Applicable Privacy Law for its own handling. Heutrix will handle Client Data only for the Services, on documented Client instructions, and in accordance with the Data Handling Schedule. If an instruction appears unlawful or materially unsafe, Heutrix will pause the affected handling and notify the Client.</w:t>
      </w:r>
    </w:p>
    <w:p>
      <w:r>
        <w:rPr>
          <w:rFonts w:ascii="Calibri" w:hAnsi="Calibri"/>
          <w:i w:val="0"/>
        </w:rPr>
        <w:t>The parties will minimise Personal Information and use synthetic or appropriately de-identified examples where practicable. Client records, sensitive information and credentials must not be placed in public enquiry forms, ordinary project messages, public AI services or unapproved repositories. Basic business-contact details may use the approved enquiry route under the published website policy.</w:t>
      </w:r>
    </w:p>
    <w:p>
      <w:r>
        <w:rPr>
          <w:rFonts w:ascii="Calibri" w:hAnsi="Calibri"/>
          <w:i w:val="0"/>
        </w:rPr>
        <w:t>Heutrix will maintain reasonable technical and organisational safeguards appropriate to the agreed data class, including access control, multi-factor authentication where available, least privilege, secure sharing, supported software, device protection and access removal. The detailed controls, approved systems and incident process are in Schedule 1.</w:t>
      </w:r>
    </w:p>
    <w:p>
      <w:pPr>
        <w:pStyle w:val="Heading1"/>
      </w:pPr>
      <w:r>
        <w:rPr>
          <w:color w:val="000000"/>
          <w:u w:val="none"/>
        </w:rPr>
        <w:t>11. AI-supported work</w:t>
      </w:r>
    </w:p>
    <w:p>
      <w:r>
        <w:rPr>
          <w:rFonts w:ascii="Calibri" w:hAnsi="Calibri"/>
          <w:i w:val="0"/>
        </w:rPr>
        <w:t>AI is not approved by default. Heutrix may use an AI system for Client work only where the SOW or an AI Use Case Approval identifies the tool, account, purpose, input data class, retention/training settings, hosting considerations, output use and accountable human reviewer.</w:t>
      </w:r>
    </w:p>
    <w:p>
      <w:r>
        <w:rPr>
          <w:rFonts w:ascii="Calibri" w:hAnsi="Calibri"/>
          <w:i w:val="0"/>
        </w:rPr>
        <w:t>AI must not make or replace clinical, care, safeguarding, eligibility, legal, employment, financial, compliance, regulatory or other significant decisions. Outputs must be reviewed by an appropriately skilled person before use. The detailed rules are in Schedule 2.</w:t>
      </w:r>
    </w:p>
    <w:p>
      <w:pPr>
        <w:pStyle w:val="Heading1"/>
      </w:pPr>
      <w:r>
        <w:rPr>
          <w:color w:val="000000"/>
          <w:u w:val="none"/>
        </w:rPr>
        <w:t>12. Warranties and Australian Consumer Law</w:t>
      </w:r>
    </w:p>
    <w:p>
      <w:r>
        <w:rPr>
          <w:rFonts w:ascii="Calibri" w:hAnsi="Calibri"/>
          <w:i w:val="0"/>
        </w:rPr>
        <w:t>Each party warrants that it has authority to enter this agreement. Heutrix warrants that the Services will materially conform to the SOW and be performed with due care and skill. The Client warrants that it has the rights and lawful authority needed for Heutrix to use Client Materials as instructed.</w:t>
      </w:r>
    </w:p>
    <w:p>
      <w:r>
        <w:rPr>
          <w:rFonts w:ascii="Calibri" w:hAnsi="Calibri"/>
          <w:i w:val="0"/>
        </w:rPr>
        <w:t>Nothing in this agreement excludes, restricts or modifies a guarantee, right or remedy that cannot lawfully be excluded, including under the Australian Consumer Law. Where the law permits liability for a non-personal, non-household service guarantee to be limited, Heutrix's liability is limited, at Heutrix's option, to supplying the Services again or paying the reasonable cost of having them supplied again, but only where it is fair and reasonable to rely on that limitation.</w:t>
      </w:r>
    </w:p>
    <w:p>
      <w:r>
        <w:rPr>
          <w:rFonts w:ascii="Calibri" w:hAnsi="Calibri"/>
          <w:i w:val="0"/>
        </w:rPr>
        <w:t>Except for express terms and non-excludable rights, neither party gives an implied warranty. The Client remains responsible for operational adoption, professional judgement, legal compliance and final decisions; this does not reduce Heutrix's responsibility for performing the agreed Services.</w:t>
      </w:r>
    </w:p>
    <w:p>
      <w:pPr>
        <w:pStyle w:val="Heading1"/>
      </w:pPr>
      <w:r>
        <w:rPr>
          <w:color w:val="000000"/>
          <w:u w:val="none"/>
        </w:rPr>
        <w:t>13. Liability</w:t>
      </w:r>
    </w:p>
    <w:p>
      <w:r>
        <w:rPr>
          <w:rFonts w:ascii="Calibri" w:hAnsi="Calibri"/>
          <w:i w:val="0"/>
        </w:rPr>
        <w:t>To the extent permitted by law, neither party is liable to the other for indirect or consequential loss, or loss of profit, revenue, opportunity or goodwill, except to the extent such loss forms part of a third-party claim covered by an indemnity or is a direct and reasonably foreseeable result of breach of confidentiality, privacy or security obligations.</w:t>
      </w:r>
    </w:p>
    <w:p>
      <w:r>
        <w:rPr>
          <w:rFonts w:ascii="Calibri" w:hAnsi="Calibri"/>
          <w:i w:val="0"/>
        </w:rPr>
        <w:t xml:space="preserve">For all claims arising from an affected SOW, each party's aggregate general liability is capped at </w:t>
      </w:r>
      <w:r>
        <w:rPr>
          <w:rFonts w:ascii="Calibri" w:hAnsi="Calibri"/>
          <w:i w:val="0"/>
          <w:highlight w:val="yellow"/>
        </w:rPr>
        <w:t xml:space="preserve">[Placeholder]</w:t>
      </w:r>
      <w:r>
        <w:rPr>
          <w:rFonts w:ascii="Calibri" w:hAnsi="Calibri"/>
          <w:i w:val="0"/>
        </w:rPr>
        <w:t xml:space="preserve"> (APPROVE general cap basis and amount). Complete the reviewed cap in the final agreement before signature; no amount is selected by this draft.</w:t>
      </w:r>
    </w:p>
    <w:p>
      <w:r>
        <w:rPr>
          <w:rFonts w:ascii="Calibri" w:hAnsi="Calibri"/>
          <w:i w:val="0"/>
        </w:rPr>
        <w:t xml:space="preserve">For claims arising from breach of confidentiality, privacy or security obligations, or the IP indemnity, each party's aggregate liability is capped at </w:t>
      </w:r>
      <w:r>
        <w:rPr>
          <w:rFonts w:ascii="Calibri" w:hAnsi="Calibri"/>
          <w:i w:val="0"/>
          <w:highlight w:val="yellow"/>
        </w:rPr>
        <w:t xml:space="preserve">[Placeholder]</w:t>
      </w:r>
      <w:r>
        <w:rPr>
          <w:rFonts w:ascii="Calibri" w:hAnsi="Calibri"/>
          <w:i w:val="0"/>
        </w:rPr>
        <w:t xml:space="preserve"> (APPROVE higher cap basis and amount). Review scope, exclusions and insurance alignment before signature.</w:t>
      </w:r>
    </w:p>
    <w:p>
      <w:r>
        <w:rPr>
          <w:rFonts w:ascii="Calibri" w:hAnsi="Calibri"/>
          <w:i w:val="0"/>
        </w:rPr>
        <w:t>The exclusions and caps do not apply to fees properly payable, fraud, wilful misconduct, or death or personal injury caused by negligence, and do not limit rights that cannot lawfully be limited. Liability is reduced to the extent the other party or a third party caused or contributed to the loss. The parties must take reasonable steps to mitigate loss.</w:t>
      </w:r>
    </w:p>
    <w:p>
      <w:pPr>
        <w:pStyle w:val="Heading1"/>
      </w:pPr>
      <w:r>
        <w:rPr>
          <w:color w:val="000000"/>
          <w:u w:val="none"/>
        </w:rPr>
        <w:t>14. Third-party claims and indemnities</w:t>
      </w:r>
    </w:p>
    <w:p>
      <w:r>
        <w:rPr>
          <w:rFonts w:ascii="Calibri" w:hAnsi="Calibri"/>
          <w:i w:val="0"/>
        </w:rPr>
        <w:t>Heutrix indemnifies the Client against a third-party claim that a Deliverable created solely by Heutrix infringes Australian IP rights, except to the extent caused by Client Materials, Client instructions, unauthorised modification, combination not approved by Heutrix or use outside the SOW. Heutrix may obtain rights, modify or replace the affected item, or refund the applicable unused fees if no reasonable remedy is available.</w:t>
      </w:r>
    </w:p>
    <w:p>
      <w:r>
        <w:rPr>
          <w:rFonts w:ascii="Calibri" w:hAnsi="Calibri"/>
          <w:i w:val="0"/>
        </w:rPr>
        <w:t>The Client indemnifies Heutrix against a third-party claim arising from Client Materials or instructions that the Client was not lawfully entitled to provide or require, except to the extent caused by Heutrix's breach, negligence or failure to follow lawful instructions.</w:t>
      </w:r>
    </w:p>
    <w:p>
      <w:r>
        <w:rPr>
          <w:rFonts w:ascii="Calibri" w:hAnsi="Calibri"/>
          <w:i w:val="0"/>
        </w:rPr>
        <w:t>An indemnified party must give prompt notice, reasonable assistance and control of the defence to the indemnifying party, subject to the indemnified party's right to participate. No settlement may admit fault or impose a non-monetary obligation on the indemnified party without its consent, not to be unreasonably withheld.</w:t>
      </w:r>
    </w:p>
    <w:p>
      <w:pPr>
        <w:pStyle w:val="Heading1"/>
      </w:pPr>
      <w:r>
        <w:rPr>
          <w:color w:val="000000"/>
          <w:u w:val="none"/>
        </w:rPr>
        <w:t>15. Insurance</w:t>
      </w:r>
    </w:p>
    <w:p>
      <w:r>
        <w:rPr>
          <w:rFonts w:ascii="Calibri" w:hAnsi="Calibri"/>
          <w:i w:val="0"/>
        </w:rPr>
        <w:t>Each party will maintain insurance required by law and any insurance expressly agreed in the SOW. Before commencement, record Heutrix's verified applicable cover and approval evidence. A client acknowledgment of missing cover does not replace Heutrix's insurance review and onboarding gate. Provide evidence of stated cover through a restricted channel on reasonable request.</w:t>
      </w:r>
    </w:p>
    <w:p>
      <w:pPr>
        <w:pStyle w:val="Heading1"/>
      </w:pPr>
      <w:r>
        <w:rPr>
          <w:color w:val="000000"/>
          <w:u w:val="none"/>
        </w:rPr>
        <w:t>16. Suspension</w:t>
      </w:r>
    </w:p>
    <w:p>
      <w:r>
        <w:rPr>
          <w:rFonts w:ascii="Calibri" w:hAnsi="Calibri"/>
          <w:i w:val="0"/>
        </w:rPr>
        <w:t xml:space="preserve">Heutrix may suspend only the affected Services if an undisputed amount remains overdue after the written notice and cure period of </w:t>
      </w:r>
      <w:r>
        <w:rPr>
          <w:rFonts w:ascii="Calibri" w:hAnsi="Calibri"/>
          <w:i w:val="0"/>
          <w:highlight w:val="yellow"/>
        </w:rPr>
        <w:t xml:space="preserve">[Placeholder]</w:t>
      </w:r>
      <w:r>
        <w:rPr>
          <w:rFonts w:ascii="Calibri" w:hAnsi="Calibri"/>
          <w:i w:val="0"/>
        </w:rPr>
        <w:t xml:space="preserve"> (APPROVE) business days, or continuing creates a material security, privacy, safety or legal risk. Give reasons, limit suspension, preserve Client Data and restore Services promptly when the issue is resolved. No charge arises for avoidable delay caused by an unjustified suspension. Specific pause, reschedule and restart effects must be agreed in the SOW.</w:t>
      </w:r>
    </w:p>
    <w:p>
      <w:pPr>
        <w:pStyle w:val="Heading1"/>
      </w:pPr>
      <w:r>
        <w:rPr>
          <w:color w:val="000000"/>
          <w:u w:val="none"/>
        </w:rPr>
        <w:t>17. Termination</w:t>
      </w:r>
    </w:p>
    <w:p>
      <w:r>
        <w:rPr>
          <w:rFonts w:ascii="Calibri" w:hAnsi="Calibri"/>
          <w:i w:val="0"/>
        </w:rPr>
        <w:t xml:space="preserve">Either party may terminate this agreement or an affected SOW for material breach not cured within </w:t>
      </w:r>
      <w:r>
        <w:rPr>
          <w:rFonts w:ascii="Calibri" w:hAnsi="Calibri"/>
          <w:i w:val="0"/>
          <w:highlight w:val="yellow"/>
        </w:rPr>
        <w:t xml:space="preserve">[Placeholder]</w:t>
      </w:r>
      <w:r>
        <w:rPr>
          <w:rFonts w:ascii="Calibri" w:hAnsi="Calibri"/>
          <w:i w:val="0"/>
        </w:rPr>
        <w:t xml:space="preserve"> (APPROVE breach cure period) business days after written notice, immediately for an incurable material breach, or where the other party becomes insolvent to the extent permitted by law.</w:t>
      </w:r>
    </w:p>
    <w:p>
      <w:r>
        <w:rPr>
          <w:rFonts w:ascii="Calibri" w:hAnsi="Calibri"/>
          <w:i w:val="0"/>
        </w:rPr>
        <w:t xml:space="preserve">Either party may terminate a SOW for convenience on </w:t>
      </w:r>
      <w:r>
        <w:rPr>
          <w:rFonts w:ascii="Calibri" w:hAnsi="Calibri"/>
          <w:i w:val="0"/>
          <w:highlight w:val="yellow"/>
        </w:rPr>
        <w:t xml:space="preserve">[Placeholder]</w:t>
      </w:r>
      <w:r>
        <w:rPr>
          <w:rFonts w:ascii="Calibri" w:hAnsi="Calibri"/>
          <w:i w:val="0"/>
        </w:rPr>
        <w:t xml:space="preserve"> (APPROVE notice period) business days' notice. The Client pays for conforming Services performed and approved unavoidable commitments up to termination. Heutrix refunds prepaid amounts for Services not performed and provides reasonable handover of completed paid work. Review the cancellation/refund calculation and any agreed exceptions before issue.</w:t>
      </w:r>
    </w:p>
    <w:p>
      <w:r>
        <w:rPr>
          <w:rFonts w:ascii="Calibri" w:hAnsi="Calibri"/>
          <w:i w:val="0"/>
        </w:rPr>
        <w:t>Ending this agreement does not automatically end an existing SOW unless the notice says so. On termination, each party will return or delete Confidential Information and Client Data as required, remove access, and pay amounts properly due. Terms intended by nature to continue will survive, including confidentiality, privacy, IP, liability, disputes and payment rights.</w:t>
      </w:r>
    </w:p>
    <w:p>
      <w:pPr>
        <w:pStyle w:val="Heading1"/>
      </w:pPr>
      <w:r>
        <w:rPr>
          <w:color w:val="000000"/>
          <w:u w:val="none"/>
        </w:rPr>
        <w:t>18. Disputes</w:t>
      </w:r>
    </w:p>
    <w:p>
      <w:pPr>
        <w:spacing w:before="0" w:after="160" w:line="280" w:lineRule="auto"/>
        <w:numPr>
          <w:ilvl w:val="0"/>
          <w:numId w:val="11"/>
        </w:numPr>
      </w:pPr>
      <w:r>
        <w:rPr>
          <w:rFonts w:ascii="Calibri" w:hAnsi="Calibri"/>
        </w:rPr>
        <w:t>A party gives written notice describing the dispute and desired resolution.</w:t>
      </w:r>
    </w:p>
    <w:p>
      <w:pPr>
        <w:spacing w:before="0" w:after="160" w:line="280" w:lineRule="auto"/>
        <w:numPr>
          <w:ilvl w:val="0"/>
          <w:numId w:val="11"/>
        </w:numPr>
      </w:pPr>
      <w:r>
        <w:rPr>
          <w:rFonts w:ascii="Calibri" w:hAnsi="Calibri"/>
        </w:rPr>
        <w:t>Project leads meet within five business days and try in good faith to resolve it.</w:t>
      </w:r>
    </w:p>
    <w:p>
      <w:pPr>
        <w:spacing w:before="0" w:after="160" w:line="280" w:lineRule="auto"/>
        <w:numPr>
          <w:ilvl w:val="0"/>
          <w:numId w:val="11"/>
        </w:numPr>
      </w:pPr>
      <w:r>
        <w:rPr>
          <w:rFonts w:ascii="Calibri" w:hAnsi="Calibri"/>
        </w:rPr>
        <w:t>If unresolved after 10 business days, a director or senior delegate from each party meets.</w:t>
      </w:r>
    </w:p>
    <w:p>
      <w:pPr>
        <w:spacing w:before="0" w:after="160" w:line="280" w:lineRule="auto"/>
        <w:numPr>
          <w:ilvl w:val="0"/>
          <w:numId w:val="11"/>
        </w:numPr>
      </w:pPr>
      <w:r>
        <w:rPr>
          <w:rFonts w:ascii="Calibri" w:hAnsi="Calibri"/>
        </w:rPr>
        <w:t>If unresolved after a further 10 business days, the parties attempt mediation in Melbourne through the Resolution Institute or another agreed mediator before court proceedings.</w:t>
      </w:r>
    </w:p>
    <w:p>
      <w:r>
        <w:rPr>
          <w:rFonts w:ascii="Calibri" w:hAnsi="Calibri"/>
          <w:i w:val="0"/>
        </w:rPr>
        <w:t>This process does not prevent urgent injunctive relief, debt recovery for an undisputed amount, or action required to protect people, data, systems or limitation rights. The parties will continue undisputed obligations where reasonably possible.</w:t>
      </w:r>
    </w:p>
    <w:p>
      <w:pPr>
        <w:pStyle w:val="Heading1"/>
      </w:pPr>
      <w:r>
        <w:rPr>
          <w:color w:val="000000"/>
          <w:u w:val="none"/>
        </w:rPr>
        <w:t>19. General</w:t>
      </w:r>
    </w:p>
    <w:p>
      <w:r>
        <w:rPr>
          <w:rFonts w:ascii="Calibri" w:hAnsi="Calibri"/>
          <w:i w:val="0"/>
        </w:rPr>
        <w:t>The parties are independent contractors. Nothing creates employment, partnership, fiduciary or agency authority. Neither party may assign the agreement without the other's prior written consent, not to be unreasonably withheld, except to a related body corporate or successor to substantially all relevant business assets if the assignee can perform the obligations.</w:t>
      </w:r>
    </w:p>
    <w:p>
      <w:r>
        <w:rPr>
          <w:rFonts w:ascii="Calibri" w:hAnsi="Calibri"/>
          <w:i w:val="0"/>
        </w:rPr>
        <w:t>A party is not liable for delay caused by events beyond its reasonable control if it promptly notifies the other party and mitigates the effect. Payment obligations for Services already performed are not excused. Either party may terminate affected Services if the event continues for 30 days.</w:t>
      </w:r>
    </w:p>
    <w:p>
      <w:r>
        <w:rPr>
          <w:rFonts w:ascii="Calibri" w:hAnsi="Calibri"/>
          <w:i w:val="0"/>
        </w:rPr>
        <w:t>Changes and waivers must be in writing and authorised. Invalid terms are severed or read down only to the minimum extent required. This agreement is the entire agreement about its subject matter and does not exclude liability for fraud or misleading conduct.</w:t>
      </w:r>
    </w:p>
    <w:p>
      <w:r>
        <w:rPr>
          <w:rFonts w:ascii="Calibri" w:hAnsi="Calibri"/>
          <w:i w:val="0"/>
        </w:rPr>
        <w:t>This agreement is governed by the laws of Victoria, Australia. The parties submit to the courts of Victoria and courts hearing appeals from them.</w:t>
      </w:r>
    </w:p>
    <w:p>
      <w:pPr>
        <w:pStyle w:val="Heading1"/>
      </w:pPr>
      <w:r>
        <w:rPr>
          <w:color w:val="000000"/>
          <w:u w:val="none"/>
        </w:rPr>
        <w:t>20. Notices and electronic signing</w:t>
      </w:r>
    </w:p>
    <w:p>
      <w:r>
        <w:rPr>
          <w:rFonts w:ascii="Calibri" w:hAnsi="Calibri"/>
          <w:i w:val="0"/>
        </w:rPr>
        <w:t xml:space="preserve">A notice must be sent to the verified notice email and address stated in the signing particulars, or a replacement notified in writing. Record an acknowledgment or other reliable evidence of receipt; a bounced message is not receipt. Apply </w:t>
      </w:r>
      <w:r>
        <w:rPr>
          <w:rFonts w:ascii="Calibri" w:hAnsi="Calibri"/>
          <w:i w:val="0"/>
          <w:highlight w:val="yellow"/>
        </w:rPr>
        <w:t xml:space="preserve">[Placeholder]</w:t>
      </w:r>
      <w:r>
        <w:rPr>
          <w:rFonts w:ascii="Calibri" w:hAnsi="Calibri"/>
          <w:i w:val="0"/>
        </w:rPr>
        <w:t xml:space="preserve"> (APPROVE receipt and business-hours rule) in the final agreement. Ordinary project communications do not change the notice particulars or confer signing authority.</w:t>
      </w:r>
    </w:p>
    <w:p>
      <w:r>
        <w:rPr>
          <w:rFonts w:ascii="Calibri" w:hAnsi="Calibri"/>
          <w:i w:val="0"/>
        </w:rPr>
        <w:t>This agreement and a SOW may be signed electronically and in counterparts. The parties consent to reliable electronic methods that identify the signatory and indicate their intention to sign. Together, counterparts form one instrument.</w:t>
      </w:r>
    </w:p>
    <w:p>
      <w:pPr>
        <w:pStyle w:val="Heading1"/>
        <w:pageBreakBefore/>
      </w:pPr>
      <w:r>
        <w:rPr>
          <w:color w:val="000000"/>
          <w:u w:val="none"/>
        </w:rPr>
        <w:t>Schedule 1 - Data Handling and Security</w:t>
      </w:r>
    </w:p>
    <w:p>
      <w:pPr>
        <w:spacing w:before="0" w:after="0"/>
      </w:pPr>
      <w:r>
        <w:rPr>
          <w:rFonts w:ascii="Calibri" w:hAnsi="Calibri"/>
          <w:b/>
          <w:color w:val="17324D"/>
          <w:sz w:val="20"/>
        </w:rPr>
        <w:t xml:space="preserve">Activation: </w:t>
      </w:r>
      <w:r>
        <w:rPr>
          <w:rFonts w:ascii="Calibri" w:hAnsi="Calibri"/>
          <w:color w:val="20262E"/>
          <w:sz w:val="20"/>
        </w:rPr>
        <w:t>This Schedule applies whenever Heutrix handles Client Data. A SOW must expressly approve any Personal Information, sensitive information, production access or offshore handling.</w:t>
      </w:r>
    </w:p>
    <w:p>
      <w:pPr>
        <w:pStyle w:val="Heading2"/>
      </w:pPr>
      <w:r>
        <w:rPr>
          <w:color w:val="000000"/>
          <w:u w:val="none"/>
        </w:rPr>
        <w:t>A. Documented instructions and minimisation</w:t>
      </w:r>
    </w:p>
    <w:p>
      <w:pPr>
        <w:spacing w:before="0" w:after="160" w:line="280" w:lineRule="auto"/>
        <w:numPr>
          <w:ilvl w:val="0"/>
          <w:numId w:val="10"/>
        </w:numPr>
      </w:pPr>
      <w:r>
        <w:rPr>
          <w:rFonts w:ascii="Calibri" w:hAnsi="Calibri"/>
        </w:rPr>
        <w:t>Handle Client Data only for the authorised purpose, systems, users, locations and retention period stated in the SOW or access form.</w:t>
      </w:r>
    </w:p>
    <w:p>
      <w:pPr>
        <w:spacing w:before="0" w:after="160" w:line="280" w:lineRule="auto"/>
        <w:numPr>
          <w:ilvl w:val="0"/>
          <w:numId w:val="10"/>
        </w:numPr>
      </w:pPr>
      <w:r>
        <w:rPr>
          <w:rFonts w:ascii="Calibri" w:hAnsi="Calibri"/>
        </w:rPr>
        <w:t>Collect or copy the minimum data needed. Prefer synthetic, de-identified or redacted information for discovery, design and testing.</w:t>
      </w:r>
    </w:p>
    <w:p>
      <w:pPr>
        <w:spacing w:before="0" w:after="160" w:line="280" w:lineRule="auto"/>
        <w:numPr>
          <w:ilvl w:val="0"/>
          <w:numId w:val="10"/>
        </w:numPr>
      </w:pPr>
      <w:r>
        <w:rPr>
          <w:rFonts w:ascii="Calibri" w:hAnsi="Calibri"/>
        </w:rPr>
        <w:t>Do not sell Client Data, use it for advertising, use it to train a general model, combine it for unrelated profiling or disclose it except as authorised or legally required.</w:t>
      </w:r>
    </w:p>
    <w:p>
      <w:pPr>
        <w:spacing w:before="0" w:after="160" w:line="280" w:lineRule="auto"/>
        <w:numPr>
          <w:ilvl w:val="0"/>
          <w:numId w:val="10"/>
        </w:numPr>
      </w:pPr>
      <w:r>
        <w:rPr>
          <w:rFonts w:ascii="Calibri" w:hAnsi="Calibri"/>
        </w:rPr>
        <w:t>Keep an access record for approved personnel and remove access when no longer needed or at project close.</w:t>
      </w:r>
    </w:p>
    <w:p>
      <w:pPr>
        <w:pStyle w:val="Heading2"/>
      </w:pPr>
      <w:r>
        <w:rPr>
          <w:color w:val="000000"/>
          <w:u w:val="none"/>
        </w:rPr>
        <w:t>B. Minimum safeguards</w:t>
      </w:r>
    </w:p>
    <w:p>
      <w:pPr>
        <w:spacing w:before="0" w:after="160" w:line="280" w:lineRule="auto"/>
        <w:numPr>
          <w:ilvl w:val="0"/>
          <w:numId w:val="10"/>
        </w:numPr>
      </w:pPr>
      <w:r>
        <w:rPr>
          <w:rFonts w:ascii="Calibri" w:hAnsi="Calibri"/>
        </w:rPr>
        <w:t>Use only the exact Client tenant or Heutrix workspace approved for the data class in the SOW and form A. No platform category, including Google Workspace or Microsoft 365/SharePoint, is approved merely by this draft. Record applications, administrators, settings, locations and vendor approval.</w:t>
      </w:r>
    </w:p>
    <w:p>
      <w:pPr>
        <w:spacing w:before="0" w:after="160" w:line="280" w:lineRule="auto"/>
        <w:numPr>
          <w:ilvl w:val="0"/>
          <w:numId w:val="10"/>
        </w:numPr>
      </w:pPr>
      <w:r>
        <w:rPr>
          <w:rFonts w:ascii="Calibri" w:hAnsi="Calibri"/>
        </w:rPr>
        <w:t>Use named accounts, least privilege and multi-factor authentication where available. Do not share credentials in ordinary email or project messages.</w:t>
      </w:r>
    </w:p>
    <w:p>
      <w:pPr>
        <w:spacing w:before="0" w:after="160" w:line="280" w:lineRule="auto"/>
        <w:numPr>
          <w:ilvl w:val="0"/>
          <w:numId w:val="10"/>
        </w:numPr>
      </w:pPr>
      <w:r>
        <w:rPr>
          <w:rFonts w:ascii="Calibri" w:hAnsi="Calibri"/>
        </w:rPr>
        <w:t>Use supported devices with encryption, screen lock, malware protection and timely security updates. Avoid local downloads unless expressly approved.</w:t>
      </w:r>
    </w:p>
    <w:p>
      <w:pPr>
        <w:spacing w:before="0" w:after="160" w:line="280" w:lineRule="auto"/>
        <w:numPr>
          <w:ilvl w:val="0"/>
          <w:numId w:val="10"/>
        </w:numPr>
      </w:pPr>
      <w:r>
        <w:rPr>
          <w:rFonts w:ascii="Calibri" w:hAnsi="Calibri"/>
        </w:rPr>
        <w:t>Use encrypted transport, access-controlled sharing and secure deletion appropriate to the data class.</w:t>
      </w:r>
    </w:p>
    <w:p>
      <w:pPr>
        <w:spacing w:before="0" w:after="160" w:line="280" w:lineRule="auto"/>
        <w:numPr>
          <w:ilvl w:val="0"/>
          <w:numId w:val="10"/>
        </w:numPr>
      </w:pPr>
      <w:r>
        <w:rPr>
          <w:rFonts w:ascii="Calibri" w:hAnsi="Calibri"/>
        </w:rPr>
        <w:t>Do not use live Personal Information in development or testing unless the SOW explains why de-identified data is not reasonably practicable and states additional controls.</w:t>
      </w:r>
    </w:p>
    <w:p>
      <w:pPr>
        <w:spacing w:before="0" w:after="160" w:line="280" w:lineRule="auto"/>
        <w:numPr>
          <w:ilvl w:val="0"/>
          <w:numId w:val="10"/>
        </w:numPr>
      </w:pPr>
      <w:r>
        <w:rPr>
          <w:rFonts w:ascii="Calibri" w:hAnsi="Calibri"/>
        </w:rPr>
        <w:t>Maintain reasonable backup and recovery arrangements for Heutrix-controlled project repositories, without overriding the Client's responsibility for Client systems.</w:t>
      </w:r>
    </w:p>
    <w:p>
      <w:pPr>
        <w:pStyle w:val="Heading2"/>
      </w:pPr>
      <w:r>
        <w:rPr>
          <w:color w:val="000000"/>
          <w:u w:val="none"/>
        </w:rPr>
        <w:t>C. Security incidents</w:t>
      </w:r>
    </w:p>
    <w:p>
      <w:r>
        <w:rPr>
          <w:rFonts w:ascii="Calibri" w:hAnsi="Calibri"/>
          <w:i w:val="0"/>
        </w:rPr>
        <w:t xml:space="preserve">Heutrix will notify the Client without undue delay after becoming aware of a Security Incident affecting Client Data, and within the expressly agreed notification period </w:t>
      </w:r>
      <w:r>
        <w:rPr>
          <w:rFonts w:ascii="Calibri" w:hAnsi="Calibri"/>
          <w:i w:val="0"/>
          <w:highlight w:val="yellow"/>
        </w:rPr>
        <w:t xml:space="preserve">[Placeholder]</w:t>
      </w:r>
      <w:r>
        <w:rPr>
          <w:rFonts w:ascii="Calibri" w:hAnsi="Calibri"/>
          <w:i w:val="0"/>
        </w:rPr>
        <w:t xml:space="preserve"> (APPROVE maximum and trigger) where applicable. Meet any faster legal obligation. Initial notice may be incomplete and must be updated as facts become available.</w:t>
      </w:r>
    </w:p>
    <w:p>
      <w:pPr>
        <w:spacing w:before="0" w:after="160" w:line="280" w:lineRule="auto"/>
        <w:numPr>
          <w:ilvl w:val="0"/>
          <w:numId w:val="10"/>
        </w:numPr>
      </w:pPr>
      <w:r>
        <w:rPr>
          <w:rFonts w:ascii="Calibri" w:hAnsi="Calibri"/>
        </w:rPr>
        <w:t>The notice will describe what happened, affected systems and data, likely consequences, containment steps, evidence preservation and a contact person, to the extent known.</w:t>
      </w:r>
    </w:p>
    <w:p>
      <w:pPr>
        <w:spacing w:before="0" w:after="160" w:line="280" w:lineRule="auto"/>
        <w:numPr>
          <w:ilvl w:val="0"/>
          <w:numId w:val="10"/>
        </w:numPr>
      </w:pPr>
      <w:r>
        <w:rPr>
          <w:rFonts w:ascii="Calibri" w:hAnsi="Calibri"/>
        </w:rPr>
        <w:t>Heutrix will promptly contain, investigate, remediate and cooperate with the Client's assessment and legally required notifications.</w:t>
      </w:r>
    </w:p>
    <w:p>
      <w:pPr>
        <w:spacing w:before="0" w:after="160" w:line="280" w:lineRule="auto"/>
        <w:numPr>
          <w:ilvl w:val="0"/>
          <w:numId w:val="10"/>
        </w:numPr>
      </w:pPr>
      <w:r>
        <w:rPr>
          <w:rFonts w:ascii="Calibri" w:hAnsi="Calibri"/>
        </w:rPr>
        <w:t>Neither party will notify individuals, regulators or media on behalf of the other without coordination, unless legally required. Each party remains responsible for its own statutory decisions and deadlines.</w:t>
      </w:r>
    </w:p>
    <w:p>
      <w:pPr>
        <w:spacing w:before="0" w:after="160" w:line="280" w:lineRule="auto"/>
        <w:numPr>
          <w:ilvl w:val="0"/>
          <w:numId w:val="10"/>
        </w:numPr>
      </w:pPr>
      <w:r>
        <w:rPr>
          <w:rFonts w:ascii="Calibri" w:hAnsi="Calibri"/>
        </w:rPr>
        <w:t>Reasonable incident assistance caused by Heutrix's breach is at Heutrix's cost; assistance caused by the Client or unrelated events is handled under the SOW or a change request.</w:t>
      </w:r>
    </w:p>
    <w:p>
      <w:pPr>
        <w:pStyle w:val="Heading2"/>
      </w:pPr>
      <w:r>
        <w:rPr>
          <w:color w:val="000000"/>
          <w:u w:val="none"/>
        </w:rPr>
        <w:t>D. Subcontractors and overseas handling</w:t>
      </w:r>
    </w:p>
    <w:p>
      <w:r>
        <w:rPr>
          <w:rFonts w:ascii="Calibri" w:hAnsi="Calibri"/>
          <w:i w:val="0"/>
        </w:rPr>
        <w:t>The SOW must list approved subprocessors and likely countries or regions for Personal Information where practicable. Heutrix will give reasonable prior notice of a material new subprocessor that will access Personal Information. The Client may object on reasonable privacy or security grounds; the parties will seek an alternative or may terminate the affected Services without penalty if no reasonable alternative exists.</w:t>
      </w:r>
    </w:p>
    <w:p>
      <w:r>
        <w:rPr>
          <w:rFonts w:ascii="Calibri" w:hAnsi="Calibri"/>
          <w:i w:val="0"/>
        </w:rPr>
        <w:t>Heutrix will not transfer or make Personal Information accessible outside Australia unless approved in the SOW and the parties have assessed applicable cross-border obligations, provider terms, access controls and risk.</w:t>
      </w:r>
    </w:p>
    <w:p>
      <w:pPr>
        <w:pStyle w:val="Heading2"/>
      </w:pPr>
      <w:r>
        <w:rPr>
          <w:color w:val="000000"/>
          <w:u w:val="none"/>
        </w:rPr>
        <w:t>E. Requests, return and deletion</w:t>
      </w:r>
    </w:p>
    <w:p>
      <w:r>
        <w:rPr>
          <w:rFonts w:ascii="Calibri" w:hAnsi="Calibri"/>
          <w:i w:val="0"/>
        </w:rPr>
        <w:t>Heutrix will promptly refer access, correction, complaint, regulator or legal requests concerning Client Data to the Client, unless prohibited by law, and provide reasonable assistance. Heutrix will not respond substantively on the Client's behalf without authority.</w:t>
      </w:r>
    </w:p>
    <w:p>
      <w:r>
        <w:rPr>
          <w:rFonts w:ascii="Calibri" w:hAnsi="Calibri"/>
          <w:i w:val="0"/>
        </w:rPr>
        <w:t>At a lawful instruction, access expiry or project close, Heutrix will return agreed Client Data and apply the approved category-specific retention/deletion schedule. The SOW and form A must state working-copy deletion, lawful retention/holds, backup expiry, responsible person and verification method. Retained copies remain protected. Form E records completion and any exception; no fixed deletion period is implied.</w:t>
      </w:r>
    </w:p>
    <w:p>
      <w:pPr>
        <w:pStyle w:val="Heading1"/>
        <w:pageBreakBefore/>
      </w:pPr>
      <w:r>
        <w:rPr>
          <w:color w:val="000000"/>
          <w:u w:val="none"/>
        </w:rPr>
        <w:t>Schedule 2 - Controlled AI Use</w:t>
      </w:r>
    </w:p>
    <w:p>
      <w:pPr>
        <w:spacing w:before="0" w:after="0"/>
      </w:pPr>
      <w:r>
        <w:rPr>
          <w:rFonts w:ascii="Calibri" w:hAnsi="Calibri"/>
          <w:b/>
          <w:color w:val="17324D"/>
          <w:sz w:val="20"/>
        </w:rPr>
        <w:t xml:space="preserve">Default rule: </w:t>
      </w:r>
      <w:r>
        <w:rPr>
          <w:rFonts w:ascii="Calibri" w:hAnsi="Calibri"/>
          <w:color w:val="20262E"/>
          <w:sz w:val="20"/>
        </w:rPr>
        <w:t>No AI tool or use case is approved unless it is recorded in the SOW or a signed AI Use Case Approval.</w:t>
      </w:r>
    </w:p>
    <w:p>
      <w:pPr>
        <w:pStyle w:val="Heading2"/>
      </w:pPr>
      <w:r>
        <w:rPr>
          <w:color w:val="000000"/>
          <w:u w:val="none"/>
        </w:rPr>
        <w:t>A. Approved use-case record</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tblHeader w:val="true"/>
          <w:cantSplit/>
        </w:trPr>
        <w:tc>
          <w:tcPr>
            <w:tcW w:type="dxa" w:w="270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Field</w:t>
            </w:r>
          </w:p>
        </w:tc>
        <w:tc>
          <w:tcPr>
            <w:tcW w:type="dxa" w:w="6660"/>
            <w:shd w:fill="17324D"/>
            <w:vAlign w:val="center"/>
            <w:tcMar>
              <w:top w:w="100" w:type="dxa"/>
              <w:start w:w="120" w:type="dxa"/>
              <w:bottom w:w="100" w:type="dxa"/>
              <w:end w:w="120" w:type="dxa"/>
            </w:tcMar>
          </w:tcPr>
          <w:p>
            <w:pPr>
              <w:spacing w:before="0" w:after="0" w:line="252" w:lineRule="auto"/>
              <w:jc w:val="left"/>
            </w:pPr>
            <w:r>
              <w:rPr>
                <w:rFonts w:ascii="Calibri" w:hAnsi="Calibri"/>
                <w:b/>
                <w:color w:val="FFFFFF"/>
                <w:sz w:val="18"/>
              </w:rPr>
              <w:t>Approved setting</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Tool and account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Purpose and output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Permitted input data</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8"/>
              </w:rPr>
              <w:t>Public / internal / confidential / personal / sensitive (circle approved class)</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Training and retention settings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Hosting / access region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Human reviewer and competence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Prohibited uses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r>
        <w:trPr>
          <w:cantSplit/>
        </w:trPr>
        <w:tc>
          <w:tcPr>
            <w:tcW w:type="dxa" w:w="2700"/>
            <w:vAlign w:val="center"/>
            <w:tcMar>
              <w:top w:w="100" w:type="dxa"/>
              <w:start w:w="120" w:type="dxa"/>
              <w:bottom w:w="100" w:type="dxa"/>
              <w:end w:w="120" w:type="dxa"/>
            </w:tcMar>
          </w:tcPr>
          <w:p>
            <w:pPr>
              <w:spacing w:before="0" w:after="0" w:line="252" w:lineRule="auto"/>
              <w:jc w:val="left"/>
            </w:pPr>
            <w:r>
              <w:rPr>
                <w:rFonts w:ascii="Calibri" w:hAnsi="Calibri"/>
                <w:b/>
                <w:color w:val="17324D"/>
                <w:sz w:val="18"/>
              </w:rPr>
              <w:t>Approval /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8"/>
                <w:highlight w:val="yellow"/>
              </w:rPr>
              <w:t xml:space="preserve">[Placeholder]</w:t>
            </w:r>
          </w:p>
        </w:tc>
      </w:tr>
    </w:tbl>
    <w:p>
      <w:pPr>
        <w:pStyle w:val="Heading2"/>
      </w:pPr>
      <w:r>
        <w:rPr>
          <w:color w:val="000000"/>
          <w:u w:val="none"/>
        </w:rPr>
        <w:t>B. Mandatory controls</w:t>
      </w:r>
    </w:p>
    <w:p>
      <w:pPr>
        <w:spacing w:before="0" w:after="160" w:line="280" w:lineRule="auto"/>
        <w:numPr>
          <w:ilvl w:val="0"/>
          <w:numId w:val="10"/>
        </w:numPr>
      </w:pPr>
      <w:r>
        <w:rPr>
          <w:rFonts w:ascii="Calibri" w:hAnsi="Calibri"/>
        </w:rPr>
        <w:t>Do not enter identifiable patient, participant, worker, staff or other sensitive information into a public or consumer AI service.</w:t>
      </w:r>
    </w:p>
    <w:p>
      <w:pPr>
        <w:spacing w:before="0" w:after="160" w:line="280" w:lineRule="auto"/>
        <w:numPr>
          <w:ilvl w:val="0"/>
          <w:numId w:val="10"/>
        </w:numPr>
      </w:pPr>
      <w:r>
        <w:rPr>
          <w:rFonts w:ascii="Calibri" w:hAnsi="Calibri"/>
        </w:rPr>
        <w:t>Use only approved enterprise accounts and settings. Disable model training or provider reuse where required by the approved record.</w:t>
      </w:r>
    </w:p>
    <w:p>
      <w:pPr>
        <w:spacing w:before="0" w:after="160" w:line="280" w:lineRule="auto"/>
        <w:numPr>
          <w:ilvl w:val="0"/>
          <w:numId w:val="10"/>
        </w:numPr>
      </w:pPr>
      <w:r>
        <w:rPr>
          <w:rFonts w:ascii="Calibri" w:hAnsi="Calibri"/>
        </w:rPr>
        <w:t>Minimise input data, remove identifiers and confidential details, and verify that prompts and outputs do not disclose protected information.</w:t>
      </w:r>
    </w:p>
    <w:p>
      <w:pPr>
        <w:spacing w:before="0" w:after="160" w:line="280" w:lineRule="auto"/>
        <w:numPr>
          <w:ilvl w:val="0"/>
          <w:numId w:val="10"/>
        </w:numPr>
      </w:pPr>
      <w:r>
        <w:rPr>
          <w:rFonts w:ascii="Calibri" w:hAnsi="Calibri"/>
        </w:rPr>
        <w:t>Treat outputs as drafts. An accountable and appropriately skilled human must check accuracy, context, bias, confidentiality, professional suitability and legal requirements before use.</w:t>
      </w:r>
    </w:p>
    <w:p>
      <w:pPr>
        <w:spacing w:before="0" w:after="160" w:line="280" w:lineRule="auto"/>
        <w:numPr>
          <w:ilvl w:val="0"/>
          <w:numId w:val="10"/>
        </w:numPr>
      </w:pPr>
      <w:r>
        <w:rPr>
          <w:rFonts w:ascii="Calibri" w:hAnsi="Calibri"/>
        </w:rPr>
        <w:t>Do not use AI to make or recommend clinical, treatment, safeguarding, eligibility, legal, employment, financial, compliance or regulatory decisions.</w:t>
      </w:r>
    </w:p>
    <w:p>
      <w:pPr>
        <w:spacing w:before="0" w:after="160" w:line="280" w:lineRule="auto"/>
        <w:numPr>
          <w:ilvl w:val="0"/>
          <w:numId w:val="10"/>
        </w:numPr>
      </w:pPr>
      <w:r>
        <w:rPr>
          <w:rFonts w:ascii="Calibri" w:hAnsi="Calibri"/>
        </w:rPr>
        <w:t>Maintain the evidence appropriate to the use case, including approved instructions, material source references, review outcome and final accountable decision.</w:t>
      </w:r>
    </w:p>
    <w:p>
      <w:pPr>
        <w:spacing w:before="0" w:after="160" w:line="280" w:lineRule="auto"/>
        <w:numPr>
          <w:ilvl w:val="0"/>
          <w:numId w:val="10"/>
        </w:numPr>
      </w:pPr>
      <w:r>
        <w:rPr>
          <w:rFonts w:ascii="Calibri" w:hAnsi="Calibri"/>
        </w:rPr>
        <w:t>Stop and escalate hallucinations, unexpected disclosure, unsafe output, model changes or incidents that could materially affect the approved risk assessment.</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Heutrix Pty Ltd</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Signed for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01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Services Agreement</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