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40"/>
      </w:pPr>
      <w:r>
        <w:rPr>
          <w:rFonts w:ascii="Calibri" w:hAnsi="Calibri"/>
          <w:b/>
          <w:color w:val="000000"/>
          <w:sz w:val="18"/>
        </w:rPr>
        <w:t>PROJECT TEMPLATE</w:t>
      </w:r>
    </w:p>
    <w:p>
      <w:pPr>
        <w:pStyle w:val="Title"/>
        <w:spacing w:before="0" w:after="120"/>
      </w:pPr>
      <w:r>
        <w:rPr>
          <w:rFonts w:ascii="Calibri" w:hAnsi="Calibri"/>
          <w:b/>
          <w:color w:val="000000"/>
          <w:sz w:val="56"/>
          <w:u w:val="none"/>
        </w:rPr>
        <w:t>Statement of Work</w:t>
      </w:r>
    </w:p>
    <w:p>
      <w:pPr>
        <w:spacing w:before="0" w:after="320"/>
      </w:pPr>
      <w:r>
        <w:rPr>
          <w:rFonts w:ascii="Calibri" w:hAnsi="Calibri"/>
          <w:color w:val="000000"/>
          <w:sz w:val="26"/>
        </w:rPr>
        <w:t>For Heutrix Workflow Transformation and Heutrix AI Guardrails</w:t>
      </w:r>
    </w:p>
    <w:tbl>
      <w:tblPr>
        <w:tblStyle w:val="TableGrid"/>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op w:val="single" w:sz="4" w:color="D9D9D9"/>
          <w:left w:val="single" w:sz="4" w:color="D9D9D9"/>
          <w:bottom w:val="single" w:sz="4" w:color="D9D9D9"/>
          <w:right w:val="single" w:sz="4" w:color="D9D9D9"/>
          <w:insideH w:val="single" w:sz="4" w:color="D9D9D9"/>
          <w:insideV w:val="single" w:sz="4" w:color="D9D9D9"/>
        </w:tblBorders>
      </w:tblPr>
      <w:tblGrid>
        <w:gridCol w:w="2700"/>
        <w:gridCol w:w="6660"/>
      </w:tblGrid>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SOW number</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Provider</w:t>
            </w:r>
          </w:p>
        </w:tc>
        <w:tc>
          <w:tcPr>
            <w:tcW w:type="dxa" w:w="6660"/>
            <w:shd w:fill="FFF4CE"/>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Heutrix Pty Ltd | ABN 64 702 109 662 | ACN 702 109 662</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Client legal name</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Project</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SOW date</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CSA</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Heutrix Client Services Agreement v2.2 review draft, dated 13 September 2026; replace with exact approved issue version before signature</w:t>
            </w:r>
          </w:p>
        </w:tc>
      </w:tr>
    </w:tbl>
    <w:p>
      <w:pPr>
        <w:spacing w:after="20"/>
      </w:pPr>
    </w:p>
    <w:p>
      <w:pPr>
        <w:spacing w:before="0" w:after="0"/>
      </w:pPr>
      <w:r>
        <w:rPr>
          <w:rFonts w:ascii="Calibri" w:hAnsi="Calibri"/>
          <w:b/>
          <w:color w:val="17324D"/>
          <w:sz w:val="20"/>
        </w:rPr>
        <w:t xml:space="preserve">Completion rule: </w:t>
      </w:r>
      <w:r>
        <w:rPr>
          <w:rFonts w:ascii="Calibri" w:hAnsi="Calibri"/>
          <w:color w:val="20262E"/>
          <w:sz w:val="20"/>
        </w:rPr>
        <w:t>Do not sign this SOW until every selection affecting scope, fees, data, AI, IP, insurance and acceptance has been completed. Delete unused options in the client issue copy.</w:t>
      </w:r>
    </w:p>
    <w:p>
      <w:pPr>
        <w:spacing w:after="20"/>
      </w:pPr>
    </w:p>
    <w:p>
      <w:pPr/>
      <w:r>
        <w:t>REVIEW DRAFT. Complete document 09 approvals and every required field before client issue. No legal review, business approval or effective date is recorded by this file. Keep completed client copies outside this repository.</w:t>
      </w:r>
    </w:p>
    <w:p>
      <w:pPr/>
      <w:r>
        <w:t xml:space="preserve">Product </w:t>
      </w:r>
      <w:r>
        <w:rPr>
          <w:highlight w:val="yellow"/>
        </w:rPr>
        <w:t xml:space="preserve">[Placeholder]</w:t>
      </w:r>
      <w:r>
        <w:t xml:space="preserve"> (SELECT Heutrix Workflow Transformation / Heutrix AI Guardrails). If both are included, price and define each scope and acceptance separately. Diagnostics normally uses document 02. No purchase of Diagnostics or AI Guardrails is compulsory for Transformation.</w:t>
      </w:r>
    </w:p>
    <w:p>
      <w:pPr/>
      <w:r>
        <w:t>Transformation baseline: one bounded non-clinical workflow; Diagnose, Triage, Build, Handover; conditional typical 2-4 weeks after agreed prerequisites. Include the 60-90-minute workshop, two review checkpoints, testing, guidance, training and handover within approved scope/capacity. State exact systems, roles, integrations and refinement rounds.</w:t>
      </w:r>
    </w:p>
    <w:p>
      <w:pPr/>
      <w:r>
        <w:t xml:space="preserve">Transformation defect commitment: 30-day stabilisation and correction of qualifying in-scope defects. Agreed trigger </w:t>
      </w:r>
      <w:r>
        <w:rPr>
          <w:highlight w:val="yellow"/>
        </w:rPr>
        <w:t xml:space="preserve">[Placeholder]</w:t>
      </w:r>
      <w:r>
        <w:t xml:space="preserve"> (APPROVE); start/end dates </w:t>
      </w:r>
      <w:r>
        <w:rPr>
          <w:highlight w:val="yellow"/>
        </w:rPr>
        <w:t xml:space="preserve">[Placeholder]</w:t>
      </w:r>
      <w:r>
        <w:t xml:space="preserve"> (COMPLETE); reporting channel, remedy and exclusions </w:t>
      </w:r>
      <w:r>
        <w:rPr>
          <w:highlight w:val="yellow"/>
        </w:rPr>
        <w:t xml:space="preserve">[Placeholder]</w:t>
      </w:r>
      <w:r>
        <w:t xml:space="preserve"> (COMPLETE). The period does not limit statutory rights. Enhancements and ongoing support are separately scoped.</w:t>
      </w:r>
    </w:p>
    <w:p>
      <w:pPr/>
      <w:r>
        <w:t>AI Guardrails scope: specify teams, tools and use cases; approved governance outputs, assessment depth, scenarios, sponsor review, briefing and handover owner. These working requirements must be validated and scoped. No technical enforcement, continuous monitoring, certification or compliance outcome is implied. Any actual AI use requires form B.</w:t>
      </w:r>
    </w:p>
    <w:p>
      <w:pPr>
        <w:pStyle w:val="Heading1"/>
      </w:pPr>
      <w:r>
        <w:rPr>
          <w:color w:val="000000"/>
          <w:u w:val="none"/>
        </w:rPr>
        <w:t>1. Project outcome and scope boundary</w:t>
      </w:r>
    </w:p>
    <w:tbl>
      <w:tblPr>
        <w:tblStyle w:val="TableGrid"/>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op w:val="single" w:sz="4" w:color="D9D9D9"/>
          <w:left w:val="single" w:sz="4" w:color="D9D9D9"/>
          <w:bottom w:val="single" w:sz="4" w:color="D9D9D9"/>
          <w:right w:val="single" w:sz="4" w:color="D9D9D9"/>
          <w:insideH w:val="single" w:sz="4" w:color="D9D9D9"/>
          <w:insideV w:val="single" w:sz="4" w:color="D9D9D9"/>
        </w:tblBorders>
      </w:tblPr>
      <w:tblGrid>
        <w:gridCol w:w="2700"/>
        <w:gridCol w:w="6660"/>
      </w:tblGrid>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Operational problem</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Workflow start / end</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Target outcome</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In-scope teams / users</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Out-of-scope work</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bl>
    <w:p>
      <w:pPr>
        <w:spacing w:after="20"/>
      </w:pPr>
    </w:p>
    <w:p>
      <w:r>
        <w:rPr>
          <w:rFonts w:ascii="Calibri" w:hAnsi="Calibri"/>
          <w:i w:val="0"/>
        </w:rPr>
        <w:t>Project description:</w:t>
      </w:r>
    </w:p>
    <w:p>
      <w:r>
        <w:rPr>
          <w:rFonts w:ascii="Calibri" w:hAnsi="Calibri"/>
          <w:i w:val="0"/>
          <w:highlight w:val="yellow"/>
        </w:rPr>
        <w:t xml:space="preserve">[Placeholder]</w:t>
      </w:r>
    </w:p>
    <w:p>
      <w:r>
        <w:rPr>
          <w:rFonts w:ascii="Calibri" w:hAnsi="Calibri"/>
          <w:i w:val="0"/>
          <w:highlight w:val="yellow"/>
        </w:rPr>
        <w:t xml:space="preserve">[Placeholder]</w:t>
      </w:r>
    </w:p>
    <w:p>
      <w:r>
        <w:rPr>
          <w:rFonts w:ascii="Calibri" w:hAnsi="Calibri"/>
          <w:i w:val="0"/>
          <w:highlight w:val="yellow"/>
        </w:rPr>
        <w:t xml:space="preserve">[Placeholder]</w:t>
      </w:r>
    </w:p>
    <w:p>
      <w:r>
        <w:rPr>
          <w:rFonts w:ascii="Calibri" w:hAnsi="Calibri"/>
          <w:i w:val="0"/>
          <w:highlight w:val="yellow"/>
        </w:rPr>
        <w:t xml:space="preserve">[Placeholder]</w:t>
      </w:r>
    </w:p>
    <w:p>
      <w:r>
        <w:rPr>
          <w:rFonts w:ascii="Calibri" w:hAnsi="Calibri"/>
          <w:i w:val="0"/>
          <w:highlight w:val="yellow"/>
        </w:rPr>
        <w:t xml:space="preserve">[Placeholder]</w:t>
      </w:r>
    </w:p>
    <w:p>
      <w:pPr>
        <w:pStyle w:val="Heading1"/>
      </w:pPr>
      <w:r>
        <w:rPr>
          <w:color w:val="000000"/>
          <w:u w:val="none"/>
        </w:rPr>
        <w:t>2. Services and deliverables</w:t>
      </w:r>
    </w:p>
    <w:tbl>
      <w:tblPr>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op w:val="single" w:sz="4" w:color="D9D9D9"/>
          <w:left w:val="single" w:sz="4" w:color="D9D9D9"/>
          <w:bottom w:val="single" w:sz="4" w:color="D9D9D9"/>
          <w:right w:val="single" w:sz="4" w:color="D9D9D9"/>
          <w:insideH w:val="single" w:sz="4" w:color="D9D9D9"/>
          <w:insideV w:val="single" w:sz="4" w:color="D9D9D9"/>
        </w:tblBorders>
      </w:tblPr>
      <w:tblGrid>
        <w:gridCol w:w="432"/>
        <w:gridCol w:w="2304"/>
        <w:gridCol w:w="1512"/>
        <w:gridCol w:w="1512"/>
        <w:gridCol w:w="2592"/>
      </w:tblGrid>
      <w:tr>
        <w:trPr>
          <w:tblHeader w:val="true"/>
          <w:cantSplit/>
        </w:trPr>
        <w:tc>
          <w:tcPr>
            <w:tcW w:type="dxa" w:w="432"/>
            <w:shd w:fill="17324D"/>
            <w:vAlign w:val="center"/>
            <w:tcMar>
              <w:top w:w="100" w:type="dxa"/>
              <w:start w:w="120" w:type="dxa"/>
              <w:bottom w:w="100" w:type="dxa"/>
              <w:end w:w="120" w:type="dxa"/>
            </w:tcMar>
          </w:tcPr>
          <w:p>
            <w:pPr>
              <w:spacing w:before="0" w:after="0" w:line="252" w:lineRule="auto"/>
              <w:jc w:val="left"/>
            </w:pPr>
            <w:r>
              <w:rPr>
                <w:rFonts w:ascii="Calibri" w:hAnsi="Calibri"/>
                <w:b/>
                <w:color w:val="FFFFFF"/>
                <w:sz w:val="17"/>
              </w:rPr>
              <w:t>#</w:t>
            </w:r>
          </w:p>
        </w:tc>
        <w:tc>
          <w:tcPr>
            <w:tcW w:type="dxa" w:w="2304"/>
            <w:shd w:fill="17324D"/>
            <w:vAlign w:val="center"/>
            <w:tcMar>
              <w:top w:w="100" w:type="dxa"/>
              <w:start w:w="120" w:type="dxa"/>
              <w:bottom w:w="100" w:type="dxa"/>
              <w:end w:w="120" w:type="dxa"/>
            </w:tcMar>
          </w:tcPr>
          <w:p>
            <w:pPr>
              <w:spacing w:before="0" w:after="0" w:line="252" w:lineRule="auto"/>
              <w:jc w:val="left"/>
            </w:pPr>
            <w:r>
              <w:rPr>
                <w:rFonts w:ascii="Calibri" w:hAnsi="Calibri"/>
                <w:b/>
                <w:color w:val="FFFFFF"/>
                <w:sz w:val="17"/>
              </w:rPr>
              <w:t>Service / deliverable</w:t>
            </w:r>
          </w:p>
        </w:tc>
        <w:tc>
          <w:tcPr>
            <w:tcW w:type="dxa" w:w="1512"/>
            <w:shd w:fill="17324D"/>
            <w:vAlign w:val="center"/>
            <w:tcMar>
              <w:top w:w="100" w:type="dxa"/>
              <w:start w:w="120" w:type="dxa"/>
              <w:bottom w:w="100" w:type="dxa"/>
              <w:end w:w="120" w:type="dxa"/>
            </w:tcMar>
          </w:tcPr>
          <w:p>
            <w:pPr>
              <w:spacing w:before="0" w:after="0" w:line="252" w:lineRule="auto"/>
              <w:jc w:val="left"/>
            </w:pPr>
            <w:r>
              <w:rPr>
                <w:rFonts w:ascii="Calibri" w:hAnsi="Calibri"/>
                <w:b/>
                <w:color w:val="FFFFFF"/>
                <w:sz w:val="17"/>
              </w:rPr>
              <w:t>Owner</w:t>
            </w:r>
          </w:p>
        </w:tc>
        <w:tc>
          <w:tcPr>
            <w:tcW w:type="dxa" w:w="1512"/>
            <w:shd w:fill="17324D"/>
            <w:vAlign w:val="center"/>
            <w:tcMar>
              <w:top w:w="100" w:type="dxa"/>
              <w:start w:w="120" w:type="dxa"/>
              <w:bottom w:w="100" w:type="dxa"/>
              <w:end w:w="120" w:type="dxa"/>
            </w:tcMar>
          </w:tcPr>
          <w:p>
            <w:pPr>
              <w:spacing w:before="0" w:after="0" w:line="252" w:lineRule="auto"/>
              <w:jc w:val="left"/>
            </w:pPr>
            <w:r>
              <w:rPr>
                <w:rFonts w:ascii="Calibri" w:hAnsi="Calibri"/>
                <w:b/>
                <w:color w:val="FFFFFF"/>
                <w:sz w:val="17"/>
              </w:rPr>
              <w:t>Target</w:t>
            </w:r>
          </w:p>
        </w:tc>
        <w:tc>
          <w:tcPr>
            <w:tcW w:type="dxa" w:w="2592"/>
            <w:shd w:fill="17324D"/>
            <w:vAlign w:val="center"/>
            <w:tcMar>
              <w:top w:w="100" w:type="dxa"/>
              <w:start w:w="120" w:type="dxa"/>
              <w:bottom w:w="100" w:type="dxa"/>
              <w:end w:w="120" w:type="dxa"/>
            </w:tcMar>
          </w:tcPr>
          <w:p>
            <w:pPr>
              <w:spacing w:before="0" w:after="0" w:line="252" w:lineRule="auto"/>
              <w:jc w:val="left"/>
            </w:pPr>
            <w:r>
              <w:rPr>
                <w:rFonts w:ascii="Calibri" w:hAnsi="Calibri"/>
                <w:b/>
                <w:color w:val="FFFFFF"/>
                <w:sz w:val="17"/>
              </w:rPr>
              <w:t>Acceptance criteria</w:t>
            </w:r>
          </w:p>
        </w:tc>
      </w:tr>
      <w:tr>
        <w:trPr>
          <w:cantSplit/>
        </w:trPr>
        <w:tc>
          <w:tcPr>
            <w:tcW w:type="dxa" w:w="432"/>
            <w:vAlign w:val="center"/>
            <w:tcMar>
              <w:top w:w="100" w:type="dxa"/>
              <w:start w:w="120" w:type="dxa"/>
              <w:bottom w:w="100" w:type="dxa"/>
              <w:end w:w="120" w:type="dxa"/>
            </w:tcMar>
          </w:tcPr>
          <w:p>
            <w:pPr>
              <w:spacing w:before="0" w:after="0" w:line="252" w:lineRule="auto"/>
              <w:jc w:val="center"/>
            </w:pPr>
            <w:r>
              <w:rPr>
                <w:rFonts w:ascii="Calibri" w:hAnsi="Calibri"/>
                <w:b w:val="0"/>
                <w:color w:val="20262E"/>
                <w:sz w:val="17"/>
              </w:rPr>
              <w:t>1</w:t>
            </w:r>
            <w:r>
              <w:br/>
              <w:br/>
            </w:r>
          </w:p>
        </w:tc>
        <w:tc>
          <w:tcPr>
            <w:tcW w:type="dxa" w:w="2304"/>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7"/>
              </w:rPr>
            </w:r>
            <w:r>
              <w:br/>
              <w:br/>
            </w:r>
            <w:r>
              <w:rPr>
                <w:highlight w:val="yellow"/>
              </w:rPr>
              <w:t xml:space="preserve">[Placeholder]</w:t>
            </w:r>
          </w:p>
        </w:tc>
        <w:tc>
          <w:tcPr>
            <w:tcW w:type="dxa" w:w="1512"/>
            <w:vAlign w:val="center"/>
            <w:tcMar>
              <w:top w:w="100" w:type="dxa"/>
              <w:start w:w="120" w:type="dxa"/>
              <w:bottom w:w="100" w:type="dxa"/>
              <w:end w:w="120" w:type="dxa"/>
            </w:tcMar>
          </w:tcPr>
          <w:p>
            <w:pPr>
              <w:spacing w:before="0" w:after="0" w:line="252" w:lineRule="auto"/>
              <w:jc w:val="center"/>
            </w:pPr>
            <w:r>
              <w:rPr>
                <w:rFonts w:ascii="Calibri" w:hAnsi="Calibri"/>
                <w:b w:val="0"/>
                <w:color w:val="20262E"/>
                <w:sz w:val="17"/>
              </w:rPr>
            </w:r>
            <w:r>
              <w:br/>
              <w:br/>
            </w:r>
            <w:r>
              <w:rPr>
                <w:highlight w:val="yellow"/>
              </w:rPr>
              <w:t xml:space="preserve">[Placeholder]</w:t>
            </w:r>
          </w:p>
        </w:tc>
        <w:tc>
          <w:tcPr>
            <w:tcW w:type="dxa" w:w="1512"/>
            <w:vAlign w:val="center"/>
            <w:tcMar>
              <w:top w:w="100" w:type="dxa"/>
              <w:start w:w="120" w:type="dxa"/>
              <w:bottom w:w="100" w:type="dxa"/>
              <w:end w:w="120" w:type="dxa"/>
            </w:tcMar>
          </w:tcPr>
          <w:p>
            <w:pPr>
              <w:spacing w:before="0" w:after="0" w:line="252" w:lineRule="auto"/>
              <w:jc w:val="center"/>
            </w:pPr>
            <w:r>
              <w:rPr>
                <w:rFonts w:ascii="Calibri" w:hAnsi="Calibri"/>
                <w:b w:val="0"/>
                <w:color w:val="20262E"/>
                <w:sz w:val="17"/>
              </w:rPr>
            </w:r>
            <w:r>
              <w:br/>
              <w:br/>
            </w:r>
            <w:r>
              <w:rPr>
                <w:highlight w:val="yellow"/>
              </w:rPr>
              <w:t xml:space="preserve">[Placeholder]</w:t>
            </w:r>
          </w:p>
        </w:tc>
        <w:tc>
          <w:tcPr>
            <w:tcW w:type="dxa" w:w="2592"/>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7"/>
              </w:rPr>
            </w:r>
            <w:r>
              <w:br/>
              <w:br/>
            </w:r>
            <w:r>
              <w:rPr>
                <w:highlight w:val="yellow"/>
              </w:rPr>
              <w:t xml:space="preserve">[Placeholder]</w:t>
            </w:r>
          </w:p>
        </w:tc>
      </w:tr>
      <w:tr>
        <w:trPr>
          <w:cantSplit/>
        </w:trPr>
        <w:tc>
          <w:tcPr>
            <w:tcW w:type="dxa" w:w="432"/>
            <w:vAlign w:val="center"/>
            <w:tcMar>
              <w:top w:w="100" w:type="dxa"/>
              <w:start w:w="120" w:type="dxa"/>
              <w:bottom w:w="100" w:type="dxa"/>
              <w:end w:w="120" w:type="dxa"/>
            </w:tcMar>
          </w:tcPr>
          <w:p>
            <w:pPr>
              <w:spacing w:before="0" w:after="0" w:line="252" w:lineRule="auto"/>
              <w:jc w:val="center"/>
            </w:pPr>
            <w:r>
              <w:rPr>
                <w:rFonts w:ascii="Calibri" w:hAnsi="Calibri"/>
                <w:b w:val="0"/>
                <w:color w:val="20262E"/>
                <w:sz w:val="17"/>
              </w:rPr>
              <w:t>2</w:t>
            </w:r>
            <w:r>
              <w:br/>
              <w:br/>
            </w:r>
          </w:p>
        </w:tc>
        <w:tc>
          <w:tcPr>
            <w:tcW w:type="dxa" w:w="2304"/>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7"/>
              </w:rPr>
            </w:r>
            <w:r>
              <w:br/>
              <w:br/>
            </w:r>
            <w:r>
              <w:rPr>
                <w:highlight w:val="yellow"/>
              </w:rPr>
              <w:t xml:space="preserve">[Placeholder]</w:t>
            </w:r>
          </w:p>
        </w:tc>
        <w:tc>
          <w:tcPr>
            <w:tcW w:type="dxa" w:w="1512"/>
            <w:vAlign w:val="center"/>
            <w:tcMar>
              <w:top w:w="100" w:type="dxa"/>
              <w:start w:w="120" w:type="dxa"/>
              <w:bottom w:w="100" w:type="dxa"/>
              <w:end w:w="120" w:type="dxa"/>
            </w:tcMar>
          </w:tcPr>
          <w:p>
            <w:pPr>
              <w:spacing w:before="0" w:after="0" w:line="252" w:lineRule="auto"/>
              <w:jc w:val="center"/>
            </w:pPr>
            <w:r>
              <w:rPr>
                <w:rFonts w:ascii="Calibri" w:hAnsi="Calibri"/>
                <w:b w:val="0"/>
                <w:color w:val="20262E"/>
                <w:sz w:val="17"/>
              </w:rPr>
            </w:r>
            <w:r>
              <w:br/>
              <w:br/>
            </w:r>
            <w:r>
              <w:rPr>
                <w:highlight w:val="yellow"/>
              </w:rPr>
              <w:t xml:space="preserve">[Placeholder]</w:t>
            </w:r>
          </w:p>
        </w:tc>
        <w:tc>
          <w:tcPr>
            <w:tcW w:type="dxa" w:w="1512"/>
            <w:vAlign w:val="center"/>
            <w:tcMar>
              <w:top w:w="100" w:type="dxa"/>
              <w:start w:w="120" w:type="dxa"/>
              <w:bottom w:w="100" w:type="dxa"/>
              <w:end w:w="120" w:type="dxa"/>
            </w:tcMar>
          </w:tcPr>
          <w:p>
            <w:pPr>
              <w:spacing w:before="0" w:after="0" w:line="252" w:lineRule="auto"/>
              <w:jc w:val="center"/>
            </w:pPr>
            <w:r>
              <w:rPr>
                <w:rFonts w:ascii="Calibri" w:hAnsi="Calibri"/>
                <w:b w:val="0"/>
                <w:color w:val="20262E"/>
                <w:sz w:val="17"/>
              </w:rPr>
            </w:r>
            <w:r>
              <w:br/>
              <w:br/>
            </w:r>
            <w:r>
              <w:rPr>
                <w:highlight w:val="yellow"/>
              </w:rPr>
              <w:t xml:space="preserve">[Placeholder]</w:t>
            </w:r>
          </w:p>
        </w:tc>
        <w:tc>
          <w:tcPr>
            <w:tcW w:type="dxa" w:w="2592"/>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7"/>
              </w:rPr>
            </w:r>
            <w:r>
              <w:br/>
              <w:br/>
            </w:r>
            <w:r>
              <w:rPr>
                <w:highlight w:val="yellow"/>
              </w:rPr>
              <w:t xml:space="preserve">[Placeholder]</w:t>
            </w:r>
          </w:p>
        </w:tc>
      </w:tr>
      <w:tr>
        <w:trPr>
          <w:cantSplit/>
        </w:trPr>
        <w:tc>
          <w:tcPr>
            <w:tcW w:type="dxa" w:w="432"/>
            <w:vAlign w:val="center"/>
            <w:tcMar>
              <w:top w:w="100" w:type="dxa"/>
              <w:start w:w="120" w:type="dxa"/>
              <w:bottom w:w="100" w:type="dxa"/>
              <w:end w:w="120" w:type="dxa"/>
            </w:tcMar>
          </w:tcPr>
          <w:p>
            <w:pPr>
              <w:spacing w:before="0" w:after="0" w:line="252" w:lineRule="auto"/>
              <w:jc w:val="center"/>
            </w:pPr>
            <w:r>
              <w:rPr>
                <w:rFonts w:ascii="Calibri" w:hAnsi="Calibri"/>
                <w:b w:val="0"/>
                <w:color w:val="20262E"/>
                <w:sz w:val="17"/>
              </w:rPr>
              <w:t>3</w:t>
            </w:r>
            <w:r>
              <w:br/>
              <w:br/>
            </w:r>
          </w:p>
        </w:tc>
        <w:tc>
          <w:tcPr>
            <w:tcW w:type="dxa" w:w="2304"/>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7"/>
              </w:rPr>
            </w:r>
            <w:r>
              <w:br/>
              <w:br/>
            </w:r>
            <w:r>
              <w:rPr>
                <w:highlight w:val="yellow"/>
              </w:rPr>
              <w:t xml:space="preserve">[Placeholder]</w:t>
            </w:r>
          </w:p>
        </w:tc>
        <w:tc>
          <w:tcPr>
            <w:tcW w:type="dxa" w:w="1512"/>
            <w:vAlign w:val="center"/>
            <w:tcMar>
              <w:top w:w="100" w:type="dxa"/>
              <w:start w:w="120" w:type="dxa"/>
              <w:bottom w:w="100" w:type="dxa"/>
              <w:end w:w="120" w:type="dxa"/>
            </w:tcMar>
          </w:tcPr>
          <w:p>
            <w:pPr>
              <w:spacing w:before="0" w:after="0" w:line="252" w:lineRule="auto"/>
              <w:jc w:val="center"/>
            </w:pPr>
            <w:r>
              <w:rPr>
                <w:rFonts w:ascii="Calibri" w:hAnsi="Calibri"/>
                <w:b w:val="0"/>
                <w:color w:val="20262E"/>
                <w:sz w:val="17"/>
              </w:rPr>
            </w:r>
            <w:r>
              <w:br/>
              <w:br/>
            </w:r>
            <w:r>
              <w:rPr>
                <w:highlight w:val="yellow"/>
              </w:rPr>
              <w:t xml:space="preserve">[Placeholder]</w:t>
            </w:r>
          </w:p>
        </w:tc>
        <w:tc>
          <w:tcPr>
            <w:tcW w:type="dxa" w:w="1512"/>
            <w:vAlign w:val="center"/>
            <w:tcMar>
              <w:top w:w="100" w:type="dxa"/>
              <w:start w:w="120" w:type="dxa"/>
              <w:bottom w:w="100" w:type="dxa"/>
              <w:end w:w="120" w:type="dxa"/>
            </w:tcMar>
          </w:tcPr>
          <w:p>
            <w:pPr>
              <w:spacing w:before="0" w:after="0" w:line="252" w:lineRule="auto"/>
              <w:jc w:val="center"/>
            </w:pPr>
            <w:r>
              <w:rPr>
                <w:rFonts w:ascii="Calibri" w:hAnsi="Calibri"/>
                <w:b w:val="0"/>
                <w:color w:val="20262E"/>
                <w:sz w:val="17"/>
              </w:rPr>
            </w:r>
            <w:r>
              <w:br/>
              <w:br/>
            </w:r>
            <w:r>
              <w:rPr>
                <w:highlight w:val="yellow"/>
              </w:rPr>
              <w:t xml:space="preserve">[Placeholder]</w:t>
            </w:r>
          </w:p>
        </w:tc>
        <w:tc>
          <w:tcPr>
            <w:tcW w:type="dxa" w:w="2592"/>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7"/>
              </w:rPr>
            </w:r>
            <w:r>
              <w:br/>
              <w:br/>
            </w:r>
            <w:r>
              <w:rPr>
                <w:highlight w:val="yellow"/>
              </w:rPr>
              <w:t xml:space="preserve">[Placeholder]</w:t>
            </w:r>
          </w:p>
        </w:tc>
      </w:tr>
      <w:tr>
        <w:trPr>
          <w:cantSplit/>
        </w:trPr>
        <w:tc>
          <w:tcPr>
            <w:tcW w:type="dxa" w:w="432"/>
            <w:vAlign w:val="center"/>
            <w:tcMar>
              <w:top w:w="100" w:type="dxa"/>
              <w:start w:w="120" w:type="dxa"/>
              <w:bottom w:w="100" w:type="dxa"/>
              <w:end w:w="120" w:type="dxa"/>
            </w:tcMar>
          </w:tcPr>
          <w:p>
            <w:pPr>
              <w:spacing w:before="0" w:after="0" w:line="252" w:lineRule="auto"/>
              <w:jc w:val="center"/>
            </w:pPr>
            <w:r>
              <w:rPr>
                <w:rFonts w:ascii="Calibri" w:hAnsi="Calibri"/>
                <w:b w:val="0"/>
                <w:color w:val="20262E"/>
                <w:sz w:val="17"/>
              </w:rPr>
              <w:t>4</w:t>
            </w:r>
            <w:r>
              <w:br/>
              <w:br/>
            </w:r>
          </w:p>
        </w:tc>
        <w:tc>
          <w:tcPr>
            <w:tcW w:type="dxa" w:w="2304"/>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7"/>
              </w:rPr>
            </w:r>
            <w:r>
              <w:br/>
              <w:br/>
            </w:r>
            <w:r>
              <w:rPr>
                <w:highlight w:val="yellow"/>
              </w:rPr>
              <w:t xml:space="preserve">[Placeholder]</w:t>
            </w:r>
          </w:p>
        </w:tc>
        <w:tc>
          <w:tcPr>
            <w:tcW w:type="dxa" w:w="1512"/>
            <w:vAlign w:val="center"/>
            <w:tcMar>
              <w:top w:w="100" w:type="dxa"/>
              <w:start w:w="120" w:type="dxa"/>
              <w:bottom w:w="100" w:type="dxa"/>
              <w:end w:w="120" w:type="dxa"/>
            </w:tcMar>
          </w:tcPr>
          <w:p>
            <w:pPr>
              <w:spacing w:before="0" w:after="0" w:line="252" w:lineRule="auto"/>
              <w:jc w:val="center"/>
            </w:pPr>
            <w:r>
              <w:rPr>
                <w:rFonts w:ascii="Calibri" w:hAnsi="Calibri"/>
                <w:b w:val="0"/>
                <w:color w:val="20262E"/>
                <w:sz w:val="17"/>
              </w:rPr>
            </w:r>
            <w:r>
              <w:br/>
              <w:br/>
            </w:r>
            <w:r>
              <w:rPr>
                <w:highlight w:val="yellow"/>
              </w:rPr>
              <w:t xml:space="preserve">[Placeholder]</w:t>
            </w:r>
          </w:p>
        </w:tc>
        <w:tc>
          <w:tcPr>
            <w:tcW w:type="dxa" w:w="1512"/>
            <w:vAlign w:val="center"/>
            <w:tcMar>
              <w:top w:w="100" w:type="dxa"/>
              <w:start w:w="120" w:type="dxa"/>
              <w:bottom w:w="100" w:type="dxa"/>
              <w:end w:w="120" w:type="dxa"/>
            </w:tcMar>
          </w:tcPr>
          <w:p>
            <w:pPr>
              <w:spacing w:before="0" w:after="0" w:line="252" w:lineRule="auto"/>
              <w:jc w:val="center"/>
            </w:pPr>
            <w:r>
              <w:rPr>
                <w:rFonts w:ascii="Calibri" w:hAnsi="Calibri"/>
                <w:b w:val="0"/>
                <w:color w:val="20262E"/>
                <w:sz w:val="17"/>
              </w:rPr>
            </w:r>
            <w:r>
              <w:br/>
              <w:br/>
            </w:r>
            <w:r>
              <w:rPr>
                <w:highlight w:val="yellow"/>
              </w:rPr>
              <w:t xml:space="preserve">[Placeholder]</w:t>
            </w:r>
          </w:p>
        </w:tc>
        <w:tc>
          <w:tcPr>
            <w:tcW w:type="dxa" w:w="2592"/>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7"/>
              </w:rPr>
            </w:r>
            <w:r>
              <w:br/>
              <w:br/>
            </w:r>
            <w:r>
              <w:rPr>
                <w:highlight w:val="yellow"/>
              </w:rPr>
              <w:t xml:space="preserve">[Placeholder]</w:t>
            </w:r>
          </w:p>
        </w:tc>
      </w:tr>
      <w:tr>
        <w:trPr>
          <w:cantSplit/>
        </w:trPr>
        <w:tc>
          <w:tcPr>
            <w:tcW w:type="dxa" w:w="432"/>
            <w:vAlign w:val="center"/>
            <w:tcMar>
              <w:top w:w="100" w:type="dxa"/>
              <w:start w:w="120" w:type="dxa"/>
              <w:bottom w:w="100" w:type="dxa"/>
              <w:end w:w="120" w:type="dxa"/>
            </w:tcMar>
          </w:tcPr>
          <w:p>
            <w:pPr>
              <w:spacing w:before="0" w:after="0" w:line="252" w:lineRule="auto"/>
              <w:jc w:val="center"/>
            </w:pPr>
            <w:r>
              <w:rPr>
                <w:rFonts w:ascii="Calibri" w:hAnsi="Calibri"/>
                <w:b w:val="0"/>
                <w:color w:val="20262E"/>
                <w:sz w:val="17"/>
              </w:rPr>
              <w:t>5</w:t>
            </w:r>
            <w:r>
              <w:br/>
              <w:br/>
            </w:r>
          </w:p>
        </w:tc>
        <w:tc>
          <w:tcPr>
            <w:tcW w:type="dxa" w:w="2304"/>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7"/>
              </w:rPr>
            </w:r>
            <w:r>
              <w:br/>
              <w:br/>
            </w:r>
            <w:r>
              <w:rPr>
                <w:highlight w:val="yellow"/>
              </w:rPr>
              <w:t xml:space="preserve">[Placeholder]</w:t>
            </w:r>
          </w:p>
        </w:tc>
        <w:tc>
          <w:tcPr>
            <w:tcW w:type="dxa" w:w="1512"/>
            <w:vAlign w:val="center"/>
            <w:tcMar>
              <w:top w:w="100" w:type="dxa"/>
              <w:start w:w="120" w:type="dxa"/>
              <w:bottom w:w="100" w:type="dxa"/>
              <w:end w:w="120" w:type="dxa"/>
            </w:tcMar>
          </w:tcPr>
          <w:p>
            <w:pPr>
              <w:spacing w:before="0" w:after="0" w:line="252" w:lineRule="auto"/>
              <w:jc w:val="center"/>
            </w:pPr>
            <w:r>
              <w:rPr>
                <w:rFonts w:ascii="Calibri" w:hAnsi="Calibri"/>
                <w:b w:val="0"/>
                <w:color w:val="20262E"/>
                <w:sz w:val="17"/>
              </w:rPr>
            </w:r>
            <w:r>
              <w:br/>
              <w:br/>
            </w:r>
            <w:r>
              <w:rPr>
                <w:highlight w:val="yellow"/>
              </w:rPr>
              <w:t xml:space="preserve">[Placeholder]</w:t>
            </w:r>
          </w:p>
        </w:tc>
        <w:tc>
          <w:tcPr>
            <w:tcW w:type="dxa" w:w="1512"/>
            <w:vAlign w:val="center"/>
            <w:tcMar>
              <w:top w:w="100" w:type="dxa"/>
              <w:start w:w="120" w:type="dxa"/>
              <w:bottom w:w="100" w:type="dxa"/>
              <w:end w:w="120" w:type="dxa"/>
            </w:tcMar>
          </w:tcPr>
          <w:p>
            <w:pPr>
              <w:spacing w:before="0" w:after="0" w:line="252" w:lineRule="auto"/>
              <w:jc w:val="center"/>
            </w:pPr>
            <w:r>
              <w:rPr>
                <w:rFonts w:ascii="Calibri" w:hAnsi="Calibri"/>
                <w:b w:val="0"/>
                <w:color w:val="20262E"/>
                <w:sz w:val="17"/>
              </w:rPr>
            </w:r>
            <w:r>
              <w:br/>
              <w:br/>
            </w:r>
            <w:r>
              <w:rPr>
                <w:highlight w:val="yellow"/>
              </w:rPr>
              <w:t xml:space="preserve">[Placeholder]</w:t>
            </w:r>
          </w:p>
        </w:tc>
        <w:tc>
          <w:tcPr>
            <w:tcW w:type="dxa" w:w="2592"/>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7"/>
              </w:rPr>
            </w:r>
            <w:r>
              <w:br/>
              <w:br/>
            </w:r>
            <w:r>
              <w:rPr>
                <w:highlight w:val="yellow"/>
              </w:rPr>
              <w:t xml:space="preserve">[Placeholder]</w:t>
            </w:r>
          </w:p>
        </w:tc>
      </w:tr>
      <w:tr>
        <w:trPr>
          <w:cantSplit/>
        </w:trPr>
        <w:tc>
          <w:tcPr>
            <w:tcW w:type="dxa" w:w="432"/>
            <w:vAlign w:val="center"/>
            <w:tcMar>
              <w:top w:w="100" w:type="dxa"/>
              <w:start w:w="120" w:type="dxa"/>
              <w:bottom w:w="100" w:type="dxa"/>
              <w:end w:w="120" w:type="dxa"/>
            </w:tcMar>
          </w:tcPr>
          <w:p>
            <w:pPr>
              <w:spacing w:before="0" w:after="0" w:line="252" w:lineRule="auto"/>
              <w:jc w:val="center"/>
            </w:pPr>
            <w:r>
              <w:rPr>
                <w:rFonts w:ascii="Calibri" w:hAnsi="Calibri"/>
                <w:b w:val="0"/>
                <w:color w:val="20262E"/>
                <w:sz w:val="17"/>
              </w:rPr>
              <w:t>6</w:t>
            </w:r>
            <w:r>
              <w:br/>
              <w:br/>
            </w:r>
          </w:p>
        </w:tc>
        <w:tc>
          <w:tcPr>
            <w:tcW w:type="dxa" w:w="2304"/>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7"/>
              </w:rPr>
            </w:r>
            <w:r>
              <w:br/>
              <w:br/>
            </w:r>
            <w:r>
              <w:rPr>
                <w:highlight w:val="yellow"/>
              </w:rPr>
              <w:t xml:space="preserve">[Placeholder]</w:t>
            </w:r>
          </w:p>
        </w:tc>
        <w:tc>
          <w:tcPr>
            <w:tcW w:type="dxa" w:w="1512"/>
            <w:vAlign w:val="center"/>
            <w:tcMar>
              <w:top w:w="100" w:type="dxa"/>
              <w:start w:w="120" w:type="dxa"/>
              <w:bottom w:w="100" w:type="dxa"/>
              <w:end w:w="120" w:type="dxa"/>
            </w:tcMar>
          </w:tcPr>
          <w:p>
            <w:pPr>
              <w:spacing w:before="0" w:after="0" w:line="252" w:lineRule="auto"/>
              <w:jc w:val="center"/>
            </w:pPr>
            <w:r>
              <w:rPr>
                <w:rFonts w:ascii="Calibri" w:hAnsi="Calibri"/>
                <w:b w:val="0"/>
                <w:color w:val="20262E"/>
                <w:sz w:val="17"/>
              </w:rPr>
            </w:r>
            <w:r>
              <w:br/>
              <w:br/>
            </w:r>
            <w:r>
              <w:rPr>
                <w:highlight w:val="yellow"/>
              </w:rPr>
              <w:t xml:space="preserve">[Placeholder]</w:t>
            </w:r>
          </w:p>
        </w:tc>
        <w:tc>
          <w:tcPr>
            <w:tcW w:type="dxa" w:w="1512"/>
            <w:vAlign w:val="center"/>
            <w:tcMar>
              <w:top w:w="100" w:type="dxa"/>
              <w:start w:w="120" w:type="dxa"/>
              <w:bottom w:w="100" w:type="dxa"/>
              <w:end w:w="120" w:type="dxa"/>
            </w:tcMar>
          </w:tcPr>
          <w:p>
            <w:pPr>
              <w:spacing w:before="0" w:after="0" w:line="252" w:lineRule="auto"/>
              <w:jc w:val="center"/>
            </w:pPr>
            <w:r>
              <w:rPr>
                <w:rFonts w:ascii="Calibri" w:hAnsi="Calibri"/>
                <w:b w:val="0"/>
                <w:color w:val="20262E"/>
                <w:sz w:val="17"/>
              </w:rPr>
            </w:r>
            <w:r>
              <w:br/>
              <w:br/>
            </w:r>
            <w:r>
              <w:rPr>
                <w:highlight w:val="yellow"/>
              </w:rPr>
              <w:t xml:space="preserve">[Placeholder]</w:t>
            </w:r>
          </w:p>
        </w:tc>
        <w:tc>
          <w:tcPr>
            <w:tcW w:type="dxa" w:w="2592"/>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7"/>
              </w:rPr>
            </w:r>
            <w:r>
              <w:br/>
              <w:br/>
            </w:r>
            <w:r>
              <w:rPr>
                <w:highlight w:val="yellow"/>
              </w:rPr>
              <w:t xml:space="preserve">[Placeholder]</w:t>
            </w:r>
          </w:p>
        </w:tc>
      </w:tr>
    </w:tbl>
    <w:p>
      <w:pPr>
        <w:pStyle w:val="Heading1"/>
      </w:pPr>
      <w:r>
        <w:rPr>
          <w:color w:val="000000"/>
          <w:u w:val="none"/>
        </w:rPr>
        <w:t>3. Approach, milestones and governance</w:t>
      </w:r>
    </w:p>
    <w:tbl>
      <w:tblPr>
        <w:tblStyle w:val="TableGrid"/>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op w:val="single" w:sz="4" w:color="D9D9D9"/>
          <w:left w:val="single" w:sz="4" w:color="D9D9D9"/>
          <w:bottom w:val="single" w:sz="4" w:color="D9D9D9"/>
          <w:right w:val="single" w:sz="4" w:color="D9D9D9"/>
          <w:insideH w:val="single" w:sz="4" w:color="D9D9D9"/>
          <w:insideV w:val="single" w:sz="4" w:color="D9D9D9"/>
        </w:tblBorders>
      </w:tblPr>
      <w:tblGrid>
        <w:gridCol w:w="2700"/>
        <w:gridCol w:w="6660"/>
      </w:tblGrid>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Target start</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Target completion</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Heutrix lead</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Client project owner</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Meeting / reporting cadence</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Review period</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r>
              <w:rPr>
                <w:rFonts w:ascii="Calibri" w:hAnsi="Calibri"/>
                <w:b w:val="0"/>
                <w:color w:val="20262E"/>
                <w:sz w:val="19"/>
              </w:rPr>
              <w:t xml:space="preserve"> (APPROVE review period in business days)</w:t>
            </w:r>
          </w:p>
        </w:tc>
      </w:tr>
    </w:tbl>
    <w:p>
      <w:pPr>
        <w:spacing w:after="20"/>
      </w:pPr>
    </w:p>
    <w:p>
      <w:pPr>
        <w:spacing w:before="0" w:after="160" w:line="280" w:lineRule="auto"/>
        <w:numPr>
          <w:ilvl w:val="0"/>
          <w:numId w:val="10"/>
        </w:numPr>
      </w:pPr>
      <w:r>
        <w:rPr>
          <w:rFonts w:ascii="Calibri" w:hAnsi="Calibri"/>
        </w:rPr>
        <w:t>The Client project owner consolidates feedback and decisions.</w:t>
      </w:r>
    </w:p>
    <w:p>
      <w:pPr>
        <w:spacing w:before="0" w:after="160" w:line="280" w:lineRule="auto"/>
        <w:numPr>
          <w:ilvl w:val="0"/>
          <w:numId w:val="10"/>
        </w:numPr>
      </w:pPr>
      <w:r>
        <w:rPr>
          <w:rFonts w:ascii="Calibri" w:hAnsi="Calibri"/>
        </w:rPr>
        <w:t>The parties record material decisions, assumptions, risks and approvals in the agreed repository.</w:t>
      </w:r>
    </w:p>
    <w:p>
      <w:pPr>
        <w:spacing w:before="0" w:after="160" w:line="280" w:lineRule="auto"/>
        <w:numPr>
          <w:ilvl w:val="0"/>
          <w:numId w:val="10"/>
        </w:numPr>
      </w:pPr>
      <w:r>
        <w:rPr>
          <w:rFonts w:ascii="Calibri" w:hAnsi="Calibri"/>
        </w:rPr>
        <w:t>A signed Change Request is required before material changes to scope, fees, dates, data, tools, access or acceptance criteria.</w:t>
      </w:r>
    </w:p>
    <w:p>
      <w:pPr>
        <w:pStyle w:val="Heading1"/>
      </w:pPr>
      <w:r>
        <w:rPr>
          <w:color w:val="000000"/>
          <w:u w:val="none"/>
        </w:rPr>
        <w:t>4. Client dependencies and assumptions</w:t>
      </w:r>
    </w:p>
    <w:p>
      <w:r>
        <w:rPr>
          <w:rFonts w:ascii="Calibri" w:hAnsi="Calibri"/>
          <w:i w:val="0"/>
          <w:highlight w:val="yellow"/>
        </w:rPr>
        <w:t xml:space="preserve">[Placeholder]</w:t>
      </w:r>
    </w:p>
    <w:p>
      <w:r>
        <w:rPr>
          <w:rFonts w:ascii="Calibri" w:hAnsi="Calibri"/>
          <w:i w:val="0"/>
          <w:highlight w:val="yellow"/>
        </w:rPr>
        <w:t xml:space="preserve">[Placeholder]</w:t>
      </w:r>
    </w:p>
    <w:p>
      <w:r>
        <w:rPr>
          <w:rFonts w:ascii="Calibri" w:hAnsi="Calibri"/>
          <w:i w:val="0"/>
          <w:highlight w:val="yellow"/>
        </w:rPr>
        <w:t xml:space="preserve">[Placeholder]</w:t>
      </w:r>
    </w:p>
    <w:p>
      <w:r>
        <w:rPr>
          <w:rFonts w:ascii="Calibri" w:hAnsi="Calibri"/>
          <w:i w:val="0"/>
          <w:highlight w:val="yellow"/>
        </w:rPr>
        <w:t xml:space="preserve">[Placeholder]</w:t>
      </w:r>
    </w:p>
    <w:p>
      <w:r>
        <w:rPr>
          <w:rFonts w:ascii="Calibri" w:hAnsi="Calibri"/>
          <w:i w:val="0"/>
          <w:highlight w:val="yellow"/>
        </w:rPr>
        <w:t xml:space="preserve">[Placeholder]</w:t>
      </w:r>
    </w:p>
    <w:p>
      <w:r>
        <w:rPr>
          <w:rFonts w:ascii="Calibri" w:hAnsi="Calibri"/>
          <w:i w:val="0"/>
          <w:highlight w:val="yellow"/>
        </w:rPr>
        <w:t xml:space="preserve">[Placeholder]</w:t>
      </w:r>
    </w:p>
    <w:p>
      <w:pPr>
        <w:pStyle w:val="Heading1"/>
      </w:pPr>
      <w:r>
        <w:rPr>
          <w:color w:val="000000"/>
          <w:u w:val="none"/>
        </w:rPr>
        <w:t>5. Fees and invoicing</w:t>
      </w:r>
    </w:p>
    <w:tbl>
      <w:tblPr>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op w:val="single" w:sz="4" w:color="D9D9D9"/>
          <w:left w:val="single" w:sz="4" w:color="D9D9D9"/>
          <w:bottom w:val="single" w:sz="4" w:color="D9D9D9"/>
          <w:right w:val="single" w:sz="4" w:color="D9D9D9"/>
          <w:insideH w:val="single" w:sz="4" w:color="D9D9D9"/>
          <w:insideV w:val="single" w:sz="4" w:color="D9D9D9"/>
        </w:tblBorders>
      </w:tblPr>
      <w:tblGrid>
        <w:gridCol w:w="3100"/>
        <w:gridCol w:w="1800"/>
        <w:gridCol w:w="2860"/>
        <w:gridCol w:w="1600"/>
      </w:tblGrid>
      <w:tr>
        <w:trPr>
          <w:tblHeader w:val="true"/>
          <w:cantSplit/>
        </w:trPr>
        <w:tc>
          <w:tcPr>
            <w:tcW w:type="dxa" w:w="3100"/>
            <w:shd w:fill="17324D"/>
            <w:vAlign w:val="center"/>
            <w:tcMar>
              <w:top w:w="100" w:type="dxa"/>
              <w:start w:w="120" w:type="dxa"/>
              <w:bottom w:w="100" w:type="dxa"/>
              <w:end w:w="120" w:type="dxa"/>
            </w:tcMar>
          </w:tcPr>
          <w:p>
            <w:pPr>
              <w:spacing w:before="0" w:after="0" w:line="252" w:lineRule="auto"/>
              <w:jc w:val="left"/>
            </w:pPr>
            <w:r>
              <w:rPr>
                <w:rFonts w:ascii="Calibri" w:hAnsi="Calibri"/>
                <w:b/>
                <w:color w:val="FFFFFF"/>
                <w:sz w:val="17"/>
              </w:rPr>
              <w:t>Milestone / basis</w:t>
            </w:r>
          </w:p>
        </w:tc>
        <w:tc>
          <w:tcPr>
            <w:tcW w:type="dxa" w:w="1800"/>
            <w:shd w:fill="17324D"/>
            <w:vAlign w:val="center"/>
            <w:tcMar>
              <w:top w:w="100" w:type="dxa"/>
              <w:start w:w="120" w:type="dxa"/>
              <w:bottom w:w="100" w:type="dxa"/>
              <w:end w:w="120" w:type="dxa"/>
            </w:tcMar>
          </w:tcPr>
          <w:p>
            <w:pPr>
              <w:spacing w:before="0" w:after="0" w:line="252" w:lineRule="auto"/>
              <w:jc w:val="left"/>
            </w:pPr>
            <w:r>
              <w:rPr>
                <w:rFonts w:ascii="Calibri" w:hAnsi="Calibri"/>
                <w:b/>
                <w:color w:val="FFFFFF"/>
                <w:sz w:val="17"/>
              </w:rPr>
              <w:t>Amount before any lawful GST</w:t>
            </w:r>
          </w:p>
        </w:tc>
        <w:tc>
          <w:tcPr>
            <w:tcW w:type="dxa" w:w="2860"/>
            <w:shd w:fill="17324D"/>
            <w:vAlign w:val="center"/>
            <w:tcMar>
              <w:top w:w="100" w:type="dxa"/>
              <w:start w:w="120" w:type="dxa"/>
              <w:bottom w:w="100" w:type="dxa"/>
              <w:end w:w="120" w:type="dxa"/>
            </w:tcMar>
          </w:tcPr>
          <w:p>
            <w:pPr>
              <w:spacing w:before="0" w:after="0" w:line="252" w:lineRule="auto"/>
              <w:jc w:val="left"/>
            </w:pPr>
            <w:r>
              <w:rPr>
                <w:rFonts w:ascii="Calibri" w:hAnsi="Calibri"/>
                <w:b/>
                <w:color w:val="FFFFFF"/>
                <w:sz w:val="17"/>
              </w:rPr>
              <w:t>Invoice trigger</w:t>
            </w:r>
          </w:p>
        </w:tc>
        <w:tc>
          <w:tcPr>
            <w:tcW w:type="dxa" w:w="1600"/>
            <w:shd w:fill="17324D"/>
            <w:vAlign w:val="center"/>
            <w:tcMar>
              <w:top w:w="100" w:type="dxa"/>
              <w:start w:w="120" w:type="dxa"/>
              <w:bottom w:w="100" w:type="dxa"/>
              <w:end w:w="120" w:type="dxa"/>
            </w:tcMar>
          </w:tcPr>
          <w:p>
            <w:pPr>
              <w:spacing w:before="0" w:after="0" w:line="252" w:lineRule="auto"/>
              <w:jc w:val="left"/>
            </w:pPr>
            <w:r>
              <w:rPr>
                <w:rFonts w:ascii="Calibri" w:hAnsi="Calibri"/>
                <w:b/>
                <w:color w:val="FFFFFF"/>
                <w:sz w:val="17"/>
              </w:rPr>
              <w:t>Payment due</w:t>
            </w:r>
          </w:p>
        </w:tc>
      </w:tr>
      <w:tr>
        <w:trPr>
          <w:cantSplit/>
        </w:trPr>
        <w:tc>
          <w:tcPr>
            <w:tcW w:type="dxa" w:w="310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7"/>
              </w:rPr>
              <w:br/>
            </w:r>
            <w:r>
              <w:rPr>
                <w:highlight w:val="yellow"/>
              </w:rPr>
              <w:t xml:space="preserve">[Placeholder]</w:t>
            </w:r>
          </w:p>
        </w:tc>
        <w:tc>
          <w:tcPr>
            <w:tcW w:type="dxa" w:w="180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7"/>
              </w:rPr>
              <w:br/>
            </w:r>
            <w:r>
              <w:rPr>
                <w:highlight w:val="yellow"/>
              </w:rPr>
              <w:t xml:space="preserve">[Placeholder]</w:t>
            </w:r>
          </w:p>
        </w:tc>
        <w:tc>
          <w:tcPr>
            <w:tcW w:type="dxa" w:w="28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7"/>
              </w:rPr>
              <w:br/>
            </w:r>
            <w:r>
              <w:rPr>
                <w:highlight w:val="yellow"/>
              </w:rPr>
              <w:t xml:space="preserve">[Placeholder]</w:t>
            </w:r>
          </w:p>
        </w:tc>
        <w:tc>
          <w:tcPr>
            <w:tcW w:type="dxa" w:w="160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7"/>
              </w:rPr>
              <w:br/>
            </w:r>
            <w:r>
              <w:rPr>
                <w:highlight w:val="yellow"/>
              </w:rPr>
              <w:t xml:space="preserve">[Placeholder]</w:t>
            </w:r>
          </w:p>
        </w:tc>
      </w:tr>
      <w:tr>
        <w:trPr>
          <w:cantSplit/>
        </w:trPr>
        <w:tc>
          <w:tcPr>
            <w:tcW w:type="dxa" w:w="310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7"/>
              </w:rPr>
              <w:br/>
            </w:r>
            <w:r>
              <w:rPr>
                <w:highlight w:val="yellow"/>
              </w:rPr>
              <w:t xml:space="preserve">[Placeholder]</w:t>
            </w:r>
          </w:p>
        </w:tc>
        <w:tc>
          <w:tcPr>
            <w:tcW w:type="dxa" w:w="180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7"/>
              </w:rPr>
              <w:br/>
            </w:r>
            <w:r>
              <w:rPr>
                <w:highlight w:val="yellow"/>
              </w:rPr>
              <w:t xml:space="preserve">[Placeholder]</w:t>
            </w:r>
          </w:p>
        </w:tc>
        <w:tc>
          <w:tcPr>
            <w:tcW w:type="dxa" w:w="28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7"/>
              </w:rPr>
              <w:br/>
            </w:r>
            <w:r>
              <w:rPr>
                <w:highlight w:val="yellow"/>
              </w:rPr>
              <w:t xml:space="preserve">[Placeholder]</w:t>
            </w:r>
          </w:p>
        </w:tc>
        <w:tc>
          <w:tcPr>
            <w:tcW w:type="dxa" w:w="160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7"/>
              </w:rPr>
              <w:br/>
            </w:r>
            <w:r>
              <w:rPr>
                <w:highlight w:val="yellow"/>
              </w:rPr>
              <w:t xml:space="preserve">[Placeholder]</w:t>
            </w:r>
          </w:p>
        </w:tc>
      </w:tr>
      <w:tr>
        <w:trPr>
          <w:cantSplit/>
        </w:trPr>
        <w:tc>
          <w:tcPr>
            <w:tcW w:type="dxa" w:w="310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7"/>
              </w:rPr>
              <w:br/>
            </w:r>
            <w:r>
              <w:rPr>
                <w:highlight w:val="yellow"/>
              </w:rPr>
              <w:t xml:space="preserve">[Placeholder]</w:t>
            </w:r>
          </w:p>
        </w:tc>
        <w:tc>
          <w:tcPr>
            <w:tcW w:type="dxa" w:w="180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7"/>
              </w:rPr>
              <w:br/>
            </w:r>
            <w:r>
              <w:rPr>
                <w:highlight w:val="yellow"/>
              </w:rPr>
              <w:t xml:space="preserve">[Placeholder]</w:t>
            </w:r>
          </w:p>
        </w:tc>
        <w:tc>
          <w:tcPr>
            <w:tcW w:type="dxa" w:w="28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7"/>
              </w:rPr>
              <w:br/>
            </w:r>
            <w:r>
              <w:rPr>
                <w:highlight w:val="yellow"/>
              </w:rPr>
              <w:t xml:space="preserve">[Placeholder]</w:t>
            </w:r>
          </w:p>
        </w:tc>
        <w:tc>
          <w:tcPr>
            <w:tcW w:type="dxa" w:w="160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7"/>
              </w:rPr>
              <w:br/>
            </w:r>
            <w:r>
              <w:rPr>
                <w:highlight w:val="yellow"/>
              </w:rPr>
              <w:t xml:space="preserve">[Placeholder]</w:t>
            </w:r>
          </w:p>
        </w:tc>
      </w:tr>
      <w:tr>
        <w:trPr>
          <w:cantSplit/>
        </w:trPr>
        <w:tc>
          <w:tcPr>
            <w:tcW w:type="dxa" w:w="310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7"/>
              </w:rPr>
              <w:br/>
            </w:r>
            <w:r>
              <w:rPr>
                <w:highlight w:val="yellow"/>
              </w:rPr>
              <w:t xml:space="preserve">[Placeholder]</w:t>
            </w:r>
          </w:p>
        </w:tc>
        <w:tc>
          <w:tcPr>
            <w:tcW w:type="dxa" w:w="180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7"/>
              </w:rPr>
              <w:br/>
            </w:r>
            <w:r>
              <w:rPr>
                <w:highlight w:val="yellow"/>
              </w:rPr>
              <w:t xml:space="preserve">[Placeholder]</w:t>
            </w:r>
          </w:p>
        </w:tc>
        <w:tc>
          <w:tcPr>
            <w:tcW w:type="dxa" w:w="28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7"/>
              </w:rPr>
              <w:br/>
            </w:r>
            <w:r>
              <w:rPr>
                <w:highlight w:val="yellow"/>
              </w:rPr>
              <w:t xml:space="preserve">[Placeholder]</w:t>
            </w:r>
          </w:p>
        </w:tc>
        <w:tc>
          <w:tcPr>
            <w:tcW w:type="dxa" w:w="160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7"/>
              </w:rPr>
              <w:br/>
            </w:r>
            <w:r>
              <w:rPr>
                <w:highlight w:val="yellow"/>
              </w:rPr>
              <w:t xml:space="preserve">[Placeholder]</w:t>
            </w:r>
          </w:p>
        </w:tc>
      </w:tr>
      <w:tr>
        <w:trPr>
          <w:cantSplit/>
        </w:trPr>
        <w:tc>
          <w:tcPr>
            <w:tcW w:type="dxa" w:w="310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7"/>
              </w:rPr>
              <w:br/>
            </w:r>
            <w:r>
              <w:rPr>
                <w:highlight w:val="yellow"/>
              </w:rPr>
              <w:t xml:space="preserve">[Placeholder]</w:t>
            </w:r>
          </w:p>
        </w:tc>
        <w:tc>
          <w:tcPr>
            <w:tcW w:type="dxa" w:w="180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7"/>
              </w:rPr>
              <w:br/>
            </w:r>
            <w:r>
              <w:rPr>
                <w:highlight w:val="yellow"/>
              </w:rPr>
              <w:t xml:space="preserve">[Placeholder]</w:t>
            </w:r>
          </w:p>
        </w:tc>
        <w:tc>
          <w:tcPr>
            <w:tcW w:type="dxa" w:w="28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7"/>
              </w:rPr>
              <w:br/>
            </w:r>
            <w:r>
              <w:rPr>
                <w:highlight w:val="yellow"/>
              </w:rPr>
              <w:t xml:space="preserve">[Placeholder]</w:t>
            </w:r>
          </w:p>
        </w:tc>
        <w:tc>
          <w:tcPr>
            <w:tcW w:type="dxa" w:w="160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7"/>
              </w:rPr>
              <w:br/>
            </w:r>
            <w:r>
              <w:rPr>
                <w:highlight w:val="yellow"/>
              </w:rPr>
              <w:t xml:space="preserve">[Placeholder]</w:t>
            </w:r>
          </w:p>
        </w:tc>
      </w:tr>
    </w:tbl>
    <w:tbl>
      <w:tblPr>
        <w:tblStyle w:val="TableGrid"/>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op w:val="single" w:sz="4" w:color="D9D9D9"/>
          <w:left w:val="single" w:sz="4" w:color="D9D9D9"/>
          <w:bottom w:val="single" w:sz="4" w:color="D9D9D9"/>
          <w:right w:val="single" w:sz="4" w:color="D9D9D9"/>
          <w:insideH w:val="single" w:sz="4" w:color="D9D9D9"/>
          <w:insideV w:val="single" w:sz="4" w:color="D9D9D9"/>
        </w:tblBorders>
      </w:tblPr>
      <w:tblGrid>
        <w:gridCol w:w="2700"/>
        <w:gridCol w:w="6660"/>
      </w:tblGrid>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Total fee before any lawful GST</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xml:space="preserve">AUD </w:t>
            </w: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GST</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r>
              <w:rPr>
                <w:rFonts w:ascii="Calibri" w:hAnsi="Calibri"/>
                <w:b w:val="0"/>
                <w:color w:val="20262E"/>
                <w:sz w:val="19"/>
              </w:rPr>
              <w:t xml:space="preserve"> (COMPLETE verified GST status, any lawful GST and total payable; current source records non-registration)</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Approved expenses</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xml:space="preserve">None / as follows: </w:t>
            </w: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Rate for approved extra work</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xml:space="preserve">AUD </w:t>
            </w:r>
            <w:r>
              <w:rPr>
                <w:rFonts w:ascii="Calibri" w:hAnsi="Calibri"/>
                <w:b w:val="0"/>
                <w:color w:val="20262E"/>
                <w:sz w:val="19"/>
                <w:highlight w:val="yellow"/>
              </w:rPr>
              <w:t xml:space="preserve">[Placeholder]</w:t>
            </w:r>
            <w:r>
              <w:rPr>
                <w:rFonts w:ascii="Calibri" w:hAnsi="Calibri"/>
                <w:b w:val="0"/>
                <w:color w:val="20262E"/>
                <w:sz w:val="19"/>
              </w:rPr>
              <w:t xml:space="preserve"> per hour/day, ex GST</w:t>
            </w:r>
          </w:p>
        </w:tc>
      </w:tr>
    </w:tbl>
    <w:p>
      <w:pPr>
        <w:spacing w:after="20"/>
      </w:pPr>
    </w:p>
    <w:p>
      <w:pPr>
        <w:pStyle w:val="Heading1"/>
      </w:pPr>
      <w:r>
        <w:rPr>
          <w:color w:val="000000"/>
          <w:u w:val="none"/>
        </w:rPr>
        <w:t>6. Intellectual property model - select one</w:t>
      </w:r>
    </w:p>
    <w:p>
      <w:pPr>
        <w:spacing w:before="0" w:after="160" w:line="280" w:lineRule="auto"/>
        <w:numPr>
          <w:ilvl w:val="0"/>
          <w:numId w:val="10"/>
        </w:numPr>
      </w:pPr>
      <w:r>
        <w:rPr>
          <w:highlight w:val="yellow"/>
        </w:rPr>
        <w:t xml:space="preserve">[Placeholder]</w:t>
      </w:r>
      <w:r>
        <w:t xml:space="preserve"> Select: </w:t>
      </w:r>
      <w:r>
        <w:rPr>
          <w:rFonts w:ascii="Calibri" w:hAnsi="Calibri"/>
        </w:rPr>
        <w:t>[  ] Client-owned Deliverables. Complete the assignment/payment trigger and source/editable formats; exclude identified Background Materials and third-party materials. No default selection applies.</w:t>
      </w:r>
    </w:p>
    <w:p>
      <w:pPr>
        <w:spacing w:before="0" w:after="160" w:line="280" w:lineRule="auto"/>
        <w:numPr>
          <w:ilvl w:val="0"/>
          <w:numId w:val="10"/>
        </w:numPr>
      </w:pPr>
      <w:r>
        <w:rPr>
          <w:rFonts w:ascii="Calibri" w:hAnsi="Calibri"/>
        </w:rPr>
        <w:t xml:space="preserve">[  ] Heutrix-licensed solution. Licence scope, users, term, support, portability and exit rights: </w:t>
      </w:r>
      <w:r>
        <w:rPr>
          <w:rFonts w:ascii="Calibri" w:hAnsi="Calibri"/>
          <w:highlight w:val="yellow"/>
        </w:rPr>
        <w:t xml:space="preserve">[Placeholder]</w:t>
      </w:r>
      <w:r>
        <w:rPr>
          <w:rFonts w:ascii="Calibri" w:hAnsi="Calibri"/>
        </w:rPr>
        <w:t xml:space="preserve">.</w:t>
      </w:r>
    </w:p>
    <w:p>
      <w:pPr>
        <w:spacing w:before="0" w:after="160" w:line="280" w:lineRule="auto"/>
        <w:numPr>
          <w:ilvl w:val="0"/>
          <w:numId w:val="10"/>
        </w:numPr>
      </w:pPr>
      <w:r>
        <w:rPr>
          <w:rFonts w:ascii="Calibri" w:hAnsi="Calibri"/>
        </w:rPr>
        <w:t xml:space="preserve">[  ] Other signed IP arrangement: </w:t>
      </w:r>
      <w:r>
        <w:rPr>
          <w:rFonts w:ascii="Calibri" w:hAnsi="Calibri"/>
          <w:highlight w:val="yellow"/>
        </w:rPr>
        <w:t xml:space="preserve">[Placeholder]</w:t>
      </w:r>
      <w:r>
        <w:rPr>
          <w:rFonts w:ascii="Calibri" w:hAnsi="Calibri"/>
        </w:rPr>
        <w:t xml:space="preserve">.</w:t>
      </w:r>
    </w:p>
    <w:p>
      <w:pPr>
        <w:pStyle w:val="Heading1"/>
      </w:pPr>
      <w:r>
        <w:rPr>
          <w:color w:val="000000"/>
          <w:u w:val="none"/>
        </w:rPr>
        <w:t>7. Data classification and access</w:t>
      </w:r>
    </w:p>
    <w:tbl>
      <w:tblPr>
        <w:tblStyle w:val="TableGrid"/>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op w:val="single" w:sz="4" w:color="D9D9D9"/>
          <w:left w:val="single" w:sz="4" w:color="D9D9D9"/>
          <w:bottom w:val="single" w:sz="4" w:color="D9D9D9"/>
          <w:right w:val="single" w:sz="4" w:color="D9D9D9"/>
          <w:insideH w:val="single" w:sz="4" w:color="D9D9D9"/>
          <w:insideV w:val="single" w:sz="4" w:color="D9D9D9"/>
        </w:tblBorders>
      </w:tblPr>
      <w:tblGrid>
        <w:gridCol w:w="2700"/>
        <w:gridCol w:w="6660"/>
      </w:tblGrid>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Highest data class</w:t>
            </w:r>
          </w:p>
        </w:tc>
        <w:tc>
          <w:tcPr>
            <w:tcW w:type="dxa" w:w="6660"/>
            <w:vAlign w:val="center"/>
            <w:tcMar>
              <w:top w:w="100" w:type="dxa"/>
              <w:start w:w="120" w:type="dxa"/>
              <w:bottom w:w="100" w:type="dxa"/>
              <w:end w:w="120" w:type="dxa"/>
            </w:tcMar>
          </w:tcPr>
          <w:p>
            <w:pPr>
              <w:spacing w:before="0" w:after="0" w:line="252" w:lineRule="auto"/>
              <w:jc w:val="left"/>
            </w:pPr>
            <w:r>
              <w:rPr>
                <w:highlight w:val="yellow"/>
              </w:rPr>
              <w:t xml:space="preserve">[Placeholder]</w:t>
            </w:r>
            <w:r>
              <w:t xml:space="preserve"> Select: </w:t>
            </w:r>
            <w:r>
              <w:rPr>
                <w:rFonts w:ascii="Calibri" w:hAnsi="Calibri"/>
                <w:b w:val="0"/>
                <w:color w:val="20262E"/>
                <w:sz w:val="19"/>
              </w:rPr>
              <w:t>[  ] Public  [  ] Internal  [  ] Confidential  [  ] Personal  [  ] Sensitive / health</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Approved data categories</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Prohibited data</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Approved repository / tenant</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Approved systems and access</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Storage / access countries</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Approved subprocessors</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Access end date</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Return / deletion</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bl>
    <w:p>
      <w:pPr>
        <w:spacing w:after="20"/>
      </w:pPr>
    </w:p>
    <w:p>
      <w:pPr>
        <w:spacing w:before="0" w:after="0"/>
      </w:pPr>
      <w:r>
        <w:rPr>
          <w:rFonts w:ascii="Calibri" w:hAnsi="Calibri"/>
          <w:b/>
          <w:color w:val="17324D"/>
          <w:sz w:val="20"/>
        </w:rPr>
        <w:t xml:space="preserve">Attachment required: </w:t>
      </w:r>
      <w:r>
        <w:rPr>
          <w:rFonts w:ascii="Calibri" w:hAnsi="Calibri"/>
          <w:color w:val="20262E"/>
          <w:sz w:val="20"/>
        </w:rPr>
        <w:t>If Personal Information, sensitive information or production access is selected, attach a completed Data and System Access Authorisation before access begins.</w:t>
      </w:r>
    </w:p>
    <w:p>
      <w:pPr>
        <w:spacing w:after="20"/>
      </w:pPr>
    </w:p>
    <w:p>
      <w:pPr>
        <w:pStyle w:val="Heading1"/>
      </w:pPr>
      <w:r>
        <w:rPr>
          <w:color w:val="000000"/>
          <w:u w:val="none"/>
        </w:rPr>
        <w:t>8. AI setting - select one</w:t>
      </w:r>
    </w:p>
    <w:p>
      <w:pPr>
        <w:spacing w:before="0" w:after="160" w:line="280" w:lineRule="auto"/>
        <w:numPr>
          <w:ilvl w:val="0"/>
          <w:numId w:val="10"/>
        </w:numPr>
      </w:pPr>
      <w:r>
        <w:rPr>
          <w:highlight w:val="yellow"/>
        </w:rPr>
        <w:t xml:space="preserve">[Placeholder]</w:t>
      </w:r>
      <w:r>
        <w:t xml:space="preserve"> Select: </w:t>
      </w:r>
      <w:r>
        <w:rPr>
          <w:rFonts w:ascii="Calibri" w:hAnsi="Calibri"/>
        </w:rPr>
        <w:t>[  ] No AI use for this SOW.</w:t>
      </w:r>
    </w:p>
    <w:p>
      <w:pPr>
        <w:spacing w:before="0" w:after="160" w:line="280" w:lineRule="auto"/>
        <w:numPr>
          <w:ilvl w:val="0"/>
          <w:numId w:val="10"/>
        </w:numPr>
      </w:pPr>
      <w:r>
        <w:rPr>
          <w:highlight w:val="yellow"/>
        </w:rPr>
        <w:t xml:space="preserve">[Placeholder]</w:t>
      </w:r>
      <w:r>
        <w:t xml:space="preserve"> Select: </w:t>
      </w:r>
      <w:r>
        <w:rPr>
          <w:rFonts w:ascii="Calibri" w:hAnsi="Calibri"/>
        </w:rPr>
        <w:t>[  ] Public/general research only, with no Client Data or Confidential Information; attach completed form B identifying the approved tool, settings and reviewer.</w:t>
      </w:r>
    </w:p>
    <w:p>
      <w:pPr>
        <w:spacing w:before="0" w:after="160" w:line="280" w:lineRule="auto"/>
        <w:numPr>
          <w:ilvl w:val="0"/>
          <w:numId w:val="10"/>
        </w:numPr>
      </w:pPr>
      <w:r>
        <w:rPr>
          <w:rFonts w:ascii="Calibri" w:hAnsi="Calibri"/>
        </w:rPr>
        <w:t xml:space="preserve">[  ] Approved AI use is recorded in the attached AI Use Case Approval dated </w:t>
      </w:r>
      <w:r>
        <w:rPr>
          <w:rFonts w:ascii="Calibri" w:hAnsi="Calibri"/>
          <w:highlight w:val="yellow"/>
        </w:rPr>
        <w:t xml:space="preserve">[Placeholder]</w:t>
      </w:r>
      <w:r>
        <w:rPr>
          <w:rFonts w:ascii="Calibri" w:hAnsi="Calibri"/>
        </w:rPr>
        <w:t xml:space="preserve">.</w:t>
      </w:r>
    </w:p>
    <w:p>
      <w:pPr>
        <w:pStyle w:val="Heading1"/>
      </w:pPr>
      <w:r>
        <w:rPr>
          <w:color w:val="000000"/>
          <w:u w:val="none"/>
        </w:rPr>
        <w:t>9. Security, continuity and handover</w:t>
      </w:r>
    </w:p>
    <w:tbl>
      <w:tblPr>
        <w:tblStyle w:val="TableGrid"/>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op w:val="single" w:sz="4" w:color="D9D9D9"/>
          <w:left w:val="single" w:sz="4" w:color="D9D9D9"/>
          <w:bottom w:val="single" w:sz="4" w:color="D9D9D9"/>
          <w:right w:val="single" w:sz="4" w:color="D9D9D9"/>
          <w:insideH w:val="single" w:sz="4" w:color="D9D9D9"/>
          <w:insideV w:val="single" w:sz="4" w:color="D9D9D9"/>
        </w:tblBorders>
      </w:tblPr>
      <w:tblGrid>
        <w:gridCol w:w="2700"/>
        <w:gridCol w:w="6660"/>
      </w:tblGrid>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Authentication / MFA</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Backup owner</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Business continuity requirement</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Testing / rollback</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Documentation and training</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Support / warranty period</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Handover items</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bl>
    <w:p>
      <w:pPr>
        <w:spacing w:after="20"/>
      </w:pPr>
    </w:p>
    <w:p>
      <w:pPr>
        <w:pStyle w:val="Heading1"/>
      </w:pPr>
      <w:r>
        <w:rPr>
          <w:color w:val="000000"/>
          <w:u w:val="none"/>
        </w:rPr>
        <w:t>10. Insurance - insert verified cover only</w:t>
      </w:r>
    </w:p>
    <w:tbl>
      <w:tblPr>
        <w:tblStyle w:val="TableGrid"/>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op w:val="single" w:sz="4" w:color="D9D9D9"/>
          <w:left w:val="single" w:sz="4" w:color="D9D9D9"/>
          <w:bottom w:val="single" w:sz="4" w:color="D9D9D9"/>
          <w:right w:val="single" w:sz="4" w:color="D9D9D9"/>
          <w:insideH w:val="single" w:sz="4" w:color="D9D9D9"/>
          <w:insideV w:val="single" w:sz="4" w:color="D9D9D9"/>
        </w:tblBorders>
      </w:tblPr>
      <w:tblGrid>
        <w:gridCol w:w="2700"/>
        <w:gridCol w:w="6660"/>
      </w:tblGrid>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Professional indemnity</w:t>
            </w:r>
          </w:p>
        </w:tc>
        <w:tc>
          <w:tcPr>
            <w:tcW w:type="dxa" w:w="6660"/>
            <w:shd w:fill="FFF4CE"/>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xml:space="preserve">Insurer / policy / limit / expiry: </w:t>
            </w: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Public liability</w:t>
            </w:r>
          </w:p>
        </w:tc>
        <w:tc>
          <w:tcPr>
            <w:tcW w:type="dxa" w:w="6660"/>
            <w:shd w:fill="FFF4CE"/>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xml:space="preserve">Insurer / policy / limit / expiry: </w:t>
            </w: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Cyber</w:t>
            </w:r>
          </w:p>
        </w:tc>
        <w:tc>
          <w:tcPr>
            <w:tcW w:type="dxa" w:w="6660"/>
            <w:shd w:fill="FFF4CE"/>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xml:space="preserve">Insurer / policy / limit / expiry: </w:t>
            </w: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Client requirement and Heutrix approval reference</w:t>
            </w:r>
          </w:p>
        </w:tc>
        <w:tc>
          <w:tcPr>
            <w:tcW w:type="dxa" w:w="6660"/>
            <w:shd w:fill="FFF4CE"/>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bl>
    <w:p>
      <w:pPr>
        <w:spacing w:after="20"/>
      </w:pPr>
    </w:p>
    <w:p>
      <w:pPr>
        <w:pStyle w:val="Heading1"/>
      </w:pPr>
      <w:r>
        <w:rPr>
          <w:color w:val="000000"/>
          <w:u w:val="none"/>
        </w:rPr>
        <w:t>11. Special Conditions</w:t>
      </w:r>
    </w:p>
    <w:p>
      <w:r>
        <w:rPr>
          <w:rFonts w:ascii="Calibri" w:hAnsi="Calibri"/>
          <w:i w:val="0"/>
          <w:highlight w:val="yellow"/>
        </w:rPr>
        <w:t xml:space="preserve">[Placeholder]</w:t>
      </w:r>
    </w:p>
    <w:p>
      <w:r>
        <w:rPr>
          <w:rFonts w:ascii="Calibri" w:hAnsi="Calibri"/>
          <w:i w:val="0"/>
          <w:highlight w:val="yellow"/>
        </w:rPr>
        <w:t xml:space="preserve">[Placeholder]</w:t>
      </w:r>
    </w:p>
    <w:p>
      <w:r>
        <w:rPr>
          <w:rFonts w:ascii="Calibri" w:hAnsi="Calibri"/>
          <w:i w:val="0"/>
          <w:highlight w:val="yellow"/>
        </w:rPr>
        <w:t xml:space="preserve">[Placeholder]</w:t>
      </w:r>
    </w:p>
    <w:p>
      <w:r>
        <w:rPr>
          <w:rFonts w:ascii="Calibri" w:hAnsi="Calibri"/>
          <w:i w:val="0"/>
          <w:highlight w:val="yellow"/>
        </w:rPr>
        <w:t xml:space="preserve">[Placeholder]</w:t>
      </w:r>
    </w:p>
    <w:p>
      <w:r>
        <w:rPr>
          <w:rFonts w:ascii="Calibri" w:hAnsi="Calibri"/>
          <w:i w:val="0"/>
          <w:highlight w:val="yellow"/>
        </w:rPr>
        <w:t xml:space="preserve">[Placeholder]</w:t>
      </w:r>
    </w:p>
    <w:p>
      <w:pPr>
        <w:pStyle w:val="Heading1"/>
      </w:pPr>
      <w:r>
        <w:rPr>
          <w:color w:val="000000"/>
          <w:u w:val="none"/>
        </w:rPr>
        <w:t>Signing</w:t>
      </w:r>
    </w:p>
    <w:p>
      <w:pPr>
        <w:keepNext/>
      </w:pPr>
      <w:r>
        <w:rPr>
          <w:rFonts w:ascii="Calibri" w:hAnsi="Calibri"/>
          <w:i w:val="0"/>
        </w:rPr>
        <w:t>Each signatory confirms that they are authorised to bind the party named below. Signatures may be electronic and in counterparts.</w:t>
      </w:r>
    </w:p>
    <w:tbl>
      <w:tblPr>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op w:val="single" w:sz="4" w:color="D9D9D9"/>
          <w:left w:val="single" w:sz="4" w:color="D9D9D9"/>
          <w:bottom w:val="single" w:sz="4" w:color="D9D9D9"/>
          <w:right w:val="single" w:sz="4" w:color="D9D9D9"/>
          <w:insideH w:val="single" w:sz="4" w:color="D9D9D9"/>
          <w:insideV w:val="single" w:sz="4" w:color="D9D9D9"/>
        </w:tblBorders>
      </w:tblPr>
      <w:tblGrid>
        <w:gridCol w:w="4680"/>
        <w:gridCol w:w="4680"/>
      </w:tblGrid>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Signed for Heutrix Pty Ltd</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Signed for the Client</w:t>
            </w:r>
          </w:p>
        </w:tc>
      </w:tr>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xml:space="preserve">Signature: </w:t>
            </w:r>
            <w:r>
              <w:rPr>
                <w:rFonts w:ascii="Calibri" w:hAnsi="Calibri"/>
                <w:b w:val="0"/>
                <w:color w:val="20262E"/>
                <w:sz w:val="19"/>
                <w:highlight w:val="yellow"/>
              </w:rPr>
              <w:t xml:space="preserve">[Placeholder]</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xml:space="preserve">Signature: </w:t>
            </w:r>
            <w:r>
              <w:rPr>
                <w:rFonts w:ascii="Calibri" w:hAnsi="Calibri"/>
                <w:b w:val="0"/>
                <w:color w:val="20262E"/>
                <w:sz w:val="19"/>
                <w:highlight w:val="yellow"/>
              </w:rPr>
              <w:t xml:space="preserve">[Placeholder]</w:t>
            </w:r>
          </w:p>
        </w:tc>
      </w:tr>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xml:space="preserve">Name: </w:t>
            </w:r>
            <w:r>
              <w:rPr>
                <w:rFonts w:ascii="Calibri" w:hAnsi="Calibri"/>
                <w:b w:val="0"/>
                <w:color w:val="20262E"/>
                <w:sz w:val="19"/>
                <w:highlight w:val="yellow"/>
              </w:rPr>
              <w:t xml:space="preserve">[Placeholder]</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xml:space="preserve">Name: </w:t>
            </w:r>
            <w:r>
              <w:rPr>
                <w:rFonts w:ascii="Calibri" w:hAnsi="Calibri"/>
                <w:b w:val="0"/>
                <w:color w:val="20262E"/>
                <w:sz w:val="19"/>
                <w:highlight w:val="yellow"/>
              </w:rPr>
              <w:t xml:space="preserve">[Placeholder]</w:t>
            </w:r>
          </w:p>
        </w:tc>
      </w:tr>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xml:space="preserve">Position: </w:t>
            </w:r>
            <w:r>
              <w:rPr>
                <w:rFonts w:ascii="Calibri" w:hAnsi="Calibri"/>
                <w:b w:val="0"/>
                <w:color w:val="20262E"/>
                <w:sz w:val="19"/>
                <w:highlight w:val="yellow"/>
              </w:rPr>
              <w:t xml:space="preserve">[Placeholder]</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xml:space="preserve">Position: </w:t>
            </w:r>
            <w:r>
              <w:rPr>
                <w:rFonts w:ascii="Calibri" w:hAnsi="Calibri"/>
                <w:b w:val="0"/>
                <w:color w:val="20262E"/>
                <w:sz w:val="19"/>
                <w:highlight w:val="yellow"/>
              </w:rPr>
              <w:t xml:space="preserve">[Placeholder]</w:t>
            </w:r>
          </w:p>
        </w:tc>
      </w:tr>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xml:space="preserve">Date: </w:t>
            </w:r>
            <w:r>
              <w:rPr>
                <w:rFonts w:ascii="Calibri" w:hAnsi="Calibri"/>
                <w:b w:val="0"/>
                <w:color w:val="20262E"/>
                <w:sz w:val="19"/>
                <w:highlight w:val="yellow"/>
              </w:rPr>
              <w:t xml:space="preserve">[Placeholder]</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xml:space="preserve">Date: </w:t>
            </w:r>
            <w:r>
              <w:rPr>
                <w:rFonts w:ascii="Calibri" w:hAnsi="Calibri"/>
                <w:b w:val="0"/>
                <w:color w:val="20262E"/>
                <w:sz w:val="19"/>
                <w:highlight w:val="yellow"/>
              </w:rPr>
              <w:t xml:space="preserve">[Placeholder]</w:t>
            </w:r>
          </w:p>
        </w:tc>
      </w:tr>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xml:space="preserve">Email for notices: </w:t>
            </w:r>
            <w:r>
              <w:rPr>
                <w:rFonts w:ascii="Calibri" w:hAnsi="Calibri"/>
                <w:b w:val="0"/>
                <w:color w:val="20262E"/>
                <w:sz w:val="19"/>
                <w:highlight w:val="yellow"/>
              </w:rPr>
              <w:t xml:space="preserve">[Placeholder]</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xml:space="preserve">Email for notices: </w:t>
            </w:r>
            <w:r>
              <w:rPr>
                <w:rFonts w:ascii="Calibri" w:hAnsi="Calibri"/>
                <w:b w:val="0"/>
                <w:color w:val="20262E"/>
                <w:sz w:val="19"/>
                <w:highlight w:val="yellow"/>
              </w:rPr>
              <w:t xml:space="preserve">[Placeholder]</w:t>
            </w:r>
          </w:p>
        </w:tc>
      </w:tr>
    </w:tbl>
    <w:sectPr>
      <w:headerReference w:type="default" r:id="rId9"/>
      <w:footerReference w:type="default" r:id="rId10"/>
      <w:headerReference w:type="first" r:id="rId11"/>
      <w:footerReference w:type="first" r:id="rId1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sz w:val="16"/>
      </w:rPr>
      <w:t xml:space="preserve">ABN 64 702 109 662 | ACN 702 109 662 | v2.2 review | Page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0"/>
    </w:pPr>
    <w:r>
      <w:rPr>
        <w:color w:val="000000"/>
        <w:sz w:val="16"/>
      </w:rPr>
      <w:t>HEUTRIX | 03 | REVIEW DRAFT - DO NOT ISSUE OR SIGN</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lvl w:ilvl="0">
      <w:start w:val="1"/>
      <w:numFmt w:val="bullet"/>
      <w:lvlText w:val="•"/>
      <w:lvlJc w:val="left"/>
      <w:pPr>
        <w:tabs>
          <w:tab w:val="num" w:pos="720"/>
        </w:tabs>
        <w:ind w:left="720" w:hanging="360"/>
      </w:pPr>
      <w:rPr>
        <w:rFonts w:ascii="Calibri" w:hAnsi="Calibri"/>
      </w:rPr>
    </w:lvl>
  </w:abstractNum>
  <w:abstractNum w:abstractNumId="10">
    <w:multiLevelType w:val="singleLevel"/>
    <w:lvl w:ilvl="0">
      <w:start w:val="1"/>
      <w:numFmt w:val="decimal"/>
      <w:lvlText w:val="%1."/>
      <w:lvlJc w:val="left"/>
      <w:pPr>
        <w:tabs>
          <w:tab w:val="num" w:pos="720"/>
        </w:tabs>
        <w:ind w:left="720" w:hanging="360"/>
      </w:pPr>
      <w:rPr>
        <w:rFonts w:ascii="Calibri" w:hAnsi="Calibri"/>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64" w:lineRule="auto"/>
    </w:pPr>
    <w:rPr>
      <w:rFonts w:ascii="Calibri" w:hAnsi="Calibri"/>
      <w:color w:val="20262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40" w:lineRule="auto"/>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ascii="Calibri" w:hAnsi="Calibr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Statement of Work Template</dc:title>
  <dc:subject>Heutrix client legal pack</dc:subject>
  <dc:creator>Heutrix</dc:creator>
  <cp:keywords/>
  <dc:description>Controlled review draft. Approval is recorded separately.</dc:description>
  <cp:lastModifiedBy>Heutrix</cp:lastModifiedBy>
  <cp:revision>1</cp:revision>
  <dcterms:created xsi:type="dcterms:W3CDTF">2013-12-23T23:15:00Z</dcterms:created>
  <dcterms:modified xsi:type="dcterms:W3CDTF">2013-12-23T23:15:00Z</dcterms:modified>
  <cp:category/>
  <cp:version>2.2 review</cp:version>
</cp:coreProperties>
</file>