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000000"/>
          <w:sz w:val="18"/>
        </w:rPr>
        <w:t>PRE-ENGAGEMENT</w:t>
      </w:r>
    </w:p>
    <w:p>
      <w:pPr>
        <w:pStyle w:val="Title"/>
        <w:spacing w:before="0" w:after="120"/>
      </w:pPr>
      <w:r>
        <w:rPr>
          <w:rFonts w:ascii="Calibri" w:hAnsi="Calibri"/>
          <w:b/>
          <w:color w:val="000000"/>
          <w:sz w:val="56"/>
          <w:u w:val="none"/>
        </w:rPr>
        <w:t>Mutual Confidentiality Agreement</w:t>
      </w:r>
    </w:p>
    <w:p>
      <w:pPr>
        <w:spacing w:before="0" w:after="320"/>
      </w:pPr>
      <w:r>
        <w:rPr>
          <w:rFonts w:ascii="Calibri" w:hAnsi="Calibri"/>
          <w:color w:val="000000"/>
          <w:sz w:val="26"/>
        </w:rPr>
        <w:t>For evaluating and discussing a potential Heutrix engagement</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Heutrix</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Pty Ltd | ABN 64 702 109 662 | ACN 702 109 662</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Other party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Purpose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Evaluate and discuss: </w:t>
            </w: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Effective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Version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2.2 review draft | 13 September 2026</w:t>
            </w:r>
          </w:p>
        </w:tc>
      </w:tr>
    </w:tbl>
    <w:p>
      <w:pPr>
        <w:spacing w:after="20"/>
      </w:pPr>
    </w:p>
    <w:p>
      <w:pPr>
        <w:spacing w:before="0" w:after="0"/>
      </w:pPr>
      <w:r>
        <w:rPr>
          <w:rFonts w:ascii="Calibri" w:hAnsi="Calibri"/>
          <w:b/>
          <w:color w:val="17324D"/>
          <w:sz w:val="20"/>
        </w:rPr>
        <w:t xml:space="preserve">No engagement: </w:t>
      </w:r>
      <w:r>
        <w:rPr>
          <w:rFonts w:ascii="Calibri" w:hAnsi="Calibri"/>
          <w:color w:val="20262E"/>
          <w:sz w:val="20"/>
        </w:rPr>
        <w:t>This agreement protects information exchanged for the Purpose. It does not appoint Heutrix, require either party to proceed, approve system/data access or authorise AI use.</w:t>
      </w:r>
    </w:p>
    <w:p>
      <w:pPr>
        <w:spacing w:after="20"/>
      </w:pPr>
    </w:p>
    <w:p>
      <w:pPr/>
      <w:r>
        <w:t>REVIEW DRAFT. Complete document 09 approvals and every required field before client issue. No legal review, business approval or effective date is recorded by this file. Keep completed client copies outside this repository.</w:t>
      </w:r>
    </w:p>
    <w:p>
      <w:pPr/>
      <w:r>
        <w:t xml:space="preserve">Heutrix business and notices address: 4 Ellaroo Ct, Clyde North VIC 3978, Australia. Owner-confirmed authorised signatories: Janith Dharmasinghe and Sachin Wickramasuriya, Directors. Formal notice email </w:t>
      </w:r>
      <w:r>
        <w:rPr>
          <w:highlight w:val="yellow"/>
        </w:rPr>
        <w:t xml:space="preserve">[Placeholder]</w:t>
      </w:r>
      <w:r>
        <w:t xml:space="preserve"> (APPROVE); execution method and signatory selection for this document </w:t>
      </w:r>
      <w:r>
        <w:rPr>
          <w:highlight w:val="yellow"/>
        </w:rPr>
        <w:t xml:space="preserve">[Placeholder]</w:t>
      </w:r>
      <w:r>
        <w:t xml:space="preserve"> (COMPLETE AFTER REVIEW). Client notice address and authorised signatory </w:t>
      </w:r>
      <w:r>
        <w:rPr>
          <w:highlight w:val="yellow"/>
        </w:rPr>
        <w:t xml:space="preserve">[Placeholder]</w:t>
      </w:r>
      <w:r>
        <w:t xml:space="preserve"> (COMPLETE).</w:t>
      </w:r>
    </w:p>
    <w:p>
      <w:pPr>
        <w:pStyle w:val="Heading1"/>
      </w:pPr>
      <w:r>
        <w:rPr>
          <w:color w:val="000000"/>
          <w:u w:val="none"/>
        </w:rPr>
        <w:t>1. Confidential Information</w:t>
      </w:r>
    </w:p>
    <w:p>
      <w:r>
        <w:rPr>
          <w:rFonts w:ascii="Calibri" w:hAnsi="Calibri"/>
          <w:i w:val="0"/>
        </w:rPr>
        <w:t>Confidential Information means non-public information disclosed by or for a party in any form that is marked confidential or that a reasonable person would understand is confidential given its nature and the circumstances. It includes business plans, pricing, processes, systems, security information, product ideas, IP, client or worker information, Personal Information and the existence and content of discussions.</w:t>
      </w:r>
    </w:p>
    <w:p>
      <w:r>
        <w:rPr>
          <w:rFonts w:ascii="Calibri" w:hAnsi="Calibri"/>
          <w:i w:val="0"/>
        </w:rPr>
        <w:t>Confidential Information excludes information the receiving party can demonstrate was lawfully known without restriction before disclosure, independently developed without use of the information, lawfully received from a third party without restriction, or public other than through breach.</w:t>
      </w:r>
    </w:p>
    <w:p>
      <w:pPr>
        <w:pStyle w:val="Heading1"/>
      </w:pPr>
      <w:r>
        <w:rPr>
          <w:color w:val="000000"/>
          <w:u w:val="none"/>
        </w:rPr>
        <w:t>2. Permitted use and protection</w:t>
      </w:r>
    </w:p>
    <w:p>
      <w:pPr>
        <w:spacing w:before="0" w:after="160" w:line="280" w:lineRule="auto"/>
        <w:numPr>
          <w:ilvl w:val="0"/>
          <w:numId w:val="10"/>
        </w:numPr>
      </w:pPr>
      <w:r>
        <w:rPr>
          <w:rFonts w:ascii="Calibri" w:hAnsi="Calibri"/>
        </w:rPr>
        <w:t>Use Confidential Information only for the Purpose.</w:t>
      </w:r>
    </w:p>
    <w:p>
      <w:pPr>
        <w:spacing w:before="0" w:after="160" w:line="280" w:lineRule="auto"/>
        <w:numPr>
          <w:ilvl w:val="0"/>
          <w:numId w:val="10"/>
        </w:numPr>
      </w:pPr>
      <w:r>
        <w:rPr>
          <w:rFonts w:ascii="Calibri" w:hAnsi="Calibri"/>
        </w:rPr>
        <w:t>Disclose it only to personnel and professional advisers who need it for the Purpose and are bound by confidentiality obligations.</w:t>
      </w:r>
    </w:p>
    <w:p>
      <w:pPr>
        <w:spacing w:before="0" w:after="160" w:line="280" w:lineRule="auto"/>
        <w:numPr>
          <w:ilvl w:val="0"/>
          <w:numId w:val="10"/>
        </w:numPr>
      </w:pPr>
      <w:r>
        <w:rPr>
          <w:rFonts w:ascii="Calibri" w:hAnsi="Calibri"/>
        </w:rPr>
        <w:t>Protect it with at least reasonable care and safeguards appropriate to its sensitivity.</w:t>
      </w:r>
    </w:p>
    <w:p>
      <w:pPr>
        <w:spacing w:before="0" w:after="160" w:line="280" w:lineRule="auto"/>
        <w:numPr>
          <w:ilvl w:val="0"/>
          <w:numId w:val="10"/>
        </w:numPr>
      </w:pPr>
      <w:r>
        <w:rPr>
          <w:rFonts w:ascii="Calibri" w:hAnsi="Calibri"/>
        </w:rPr>
        <w:t>Do not copy, reverse engineer or analyse it beyond what is reasonably required for the Purpose.</w:t>
      </w:r>
    </w:p>
    <w:p>
      <w:pPr>
        <w:spacing w:before="0" w:after="160" w:line="280" w:lineRule="auto"/>
        <w:numPr>
          <w:ilvl w:val="0"/>
          <w:numId w:val="10"/>
        </w:numPr>
      </w:pPr>
      <w:r>
        <w:rPr>
          <w:rFonts w:ascii="Calibri" w:hAnsi="Calibri"/>
        </w:rPr>
        <w:t>Promptly notify the disclosing party of known unauthorised access, use or disclosure and cooperate in reasonable containment.</w:t>
      </w:r>
    </w:p>
    <w:p>
      <w:pPr>
        <w:spacing w:before="0" w:after="160" w:line="280" w:lineRule="auto"/>
        <w:numPr>
          <w:ilvl w:val="0"/>
          <w:numId w:val="10"/>
        </w:numPr>
      </w:pPr>
      <w:r>
        <w:rPr>
          <w:rFonts w:ascii="Calibri" w:hAnsi="Calibri"/>
        </w:rPr>
        <w:t>Do not place Confidential Information or Personal Information into a public AI tool or unapproved repository.</w:t>
      </w:r>
    </w:p>
    <w:p>
      <w:pPr>
        <w:pStyle w:val="Heading1"/>
      </w:pPr>
      <w:r>
        <w:rPr>
          <w:color w:val="000000"/>
          <w:u w:val="none"/>
        </w:rPr>
        <w:t>3. Personal and health information</w:t>
      </w:r>
    </w:p>
    <w:p>
      <w:r>
        <w:rPr>
          <w:rFonts w:ascii="Calibri" w:hAnsi="Calibri"/>
          <w:i w:val="0"/>
        </w:rPr>
        <w:t>The parties will avoid exchanging identifiable patient, participant, worker or other sensitive information during preliminary discussions. This NDA does not authorise that exchange. If Personal Information is necessary, pause and obtain a separately approved lawful handling arrangement before collection. Applicable Privacy Law means privacy and health-records laws binding on the relevant party or handling.</w:t>
      </w:r>
    </w:p>
    <w:p>
      <w:r>
        <w:rPr>
          <w:rFonts w:ascii="Calibri" w:hAnsi="Calibri"/>
          <w:i w:val="0"/>
        </w:rPr>
        <w:t>Each party remains responsible for Applicable Privacy Law. This agreement does not replace a project-specific Data and System Access Authorisation.</w:t>
      </w:r>
    </w:p>
    <w:p>
      <w:pPr>
        <w:pStyle w:val="Heading1"/>
      </w:pPr>
      <w:r>
        <w:rPr>
          <w:color w:val="000000"/>
          <w:u w:val="none"/>
        </w:rPr>
        <w:t>4. Legally required disclosure</w:t>
      </w:r>
    </w:p>
    <w:p>
      <w:r>
        <w:rPr>
          <w:rFonts w:ascii="Calibri" w:hAnsi="Calibri"/>
          <w:i w:val="0"/>
        </w:rPr>
        <w:t>If disclosure is required by law, court or regulator, the receiving party may disclose the minimum required. Where lawful and practicable, it will give prompt notice so the disclosing party can seek protection and will reasonably assist at the disclosing party's cost.</w:t>
      </w:r>
    </w:p>
    <w:p>
      <w:pPr>
        <w:pStyle w:val="Heading1"/>
      </w:pPr>
      <w:r>
        <w:rPr>
          <w:color w:val="000000"/>
          <w:u w:val="none"/>
        </w:rPr>
        <w:t>5. Return and deletion</w:t>
      </w:r>
    </w:p>
    <w:p>
      <w:r>
        <w:rPr>
          <w:rFonts w:ascii="Calibri" w:hAnsi="Calibri"/>
          <w:i w:val="0"/>
        </w:rPr>
        <w:t xml:space="preserve">On request or when discussions end, stop using and return or securely delete Confidential Information within </w:t>
      </w:r>
      <w:r>
        <w:rPr>
          <w:rFonts w:ascii="Calibri" w:hAnsi="Calibri"/>
          <w:i w:val="0"/>
          <w:highlight w:val="yellow"/>
        </w:rPr>
        <w:t xml:space="preserve">[Placeholder]</w:t>
      </w:r>
      <w:r>
        <w:rPr>
          <w:rFonts w:ascii="Calibri" w:hAnsi="Calibri"/>
          <w:i w:val="0"/>
        </w:rPr>
        <w:t xml:space="preserve"> (APPROVE NDA return/deletion period) business days, subject to lawful retention or a documented protected backup exception. Record the exception, responsible person and review/expiry date. Retained copies remain protected and cannot be used for another purpose.</w:t>
      </w:r>
    </w:p>
    <w:p>
      <w:pPr>
        <w:pStyle w:val="Heading1"/>
      </w:pPr>
      <w:r>
        <w:rPr>
          <w:color w:val="000000"/>
          <w:u w:val="none"/>
        </w:rPr>
        <w:t>6. Ownership, accuracy and no commitment</w:t>
      </w:r>
    </w:p>
    <w:p>
      <w:r>
        <w:rPr>
          <w:rFonts w:ascii="Calibri" w:hAnsi="Calibri"/>
          <w:i w:val="0"/>
        </w:rPr>
        <w:t>Confidential Information remains the disclosing party's property. No IP licence is granted except the limited right to use it for the Purpose. Information is supplied without a promise that it is complete or accurate, except that neither party excludes responsibility for fraud or misleading conduct.</w:t>
      </w:r>
    </w:p>
    <w:p>
      <w:r>
        <w:rPr>
          <w:rFonts w:ascii="Calibri" w:hAnsi="Calibri"/>
          <w:i w:val="0"/>
        </w:rPr>
        <w:t>Neither party is obliged to proceed with a transaction or engagement. Any paid work, system access, deliverable, reliance or commercial commitment requires a separate signed agreement.</w:t>
      </w:r>
    </w:p>
    <w:p>
      <w:pPr>
        <w:pStyle w:val="Heading1"/>
      </w:pPr>
      <w:r>
        <w:rPr>
          <w:color w:val="000000"/>
          <w:u w:val="none"/>
        </w:rPr>
        <w:t>7. Term and survival</w:t>
      </w:r>
    </w:p>
    <w:p>
      <w:r>
        <w:rPr>
          <w:rFonts w:ascii="Calibri" w:hAnsi="Calibri"/>
          <w:i w:val="0"/>
        </w:rPr>
        <w:t xml:space="preserve">This agreement applies to disclosures made for </w:t>
      </w:r>
      <w:r>
        <w:rPr>
          <w:rFonts w:ascii="Calibri" w:hAnsi="Calibri"/>
          <w:i w:val="0"/>
          <w:highlight w:val="yellow"/>
        </w:rPr>
        <w:t xml:space="preserve">[Placeholder]</w:t>
      </w:r>
      <w:r>
        <w:rPr>
          <w:rFonts w:ascii="Calibri" w:hAnsi="Calibri"/>
          <w:i w:val="0"/>
        </w:rPr>
        <w:t xml:space="preserve"> (APPROVE NDA disclosure term) after the Effective date. Confidentiality and use restrictions continue for </w:t>
      </w:r>
      <w:r>
        <w:rPr>
          <w:rFonts w:ascii="Calibri" w:hAnsi="Calibri"/>
          <w:i w:val="0"/>
          <w:highlight w:val="yellow"/>
        </w:rPr>
        <w:t xml:space="preserve">[Placeholder]</w:t>
      </w:r>
      <w:r>
        <w:rPr>
          <w:rFonts w:ascii="Calibri" w:hAnsi="Calibri"/>
          <w:i w:val="0"/>
        </w:rPr>
        <w:t xml:space="preserve"> (APPROVE NDA survival period) after each disclosure; trade secrets and Personal Information remain protected for as long as confidential or protected by law.</w:t>
      </w:r>
    </w:p>
    <w:p>
      <w:pPr>
        <w:pStyle w:val="Heading1"/>
      </w:pPr>
      <w:r>
        <w:rPr>
          <w:color w:val="000000"/>
          <w:u w:val="none"/>
        </w:rPr>
        <w:t>8. Remedies and liability</w:t>
      </w:r>
    </w:p>
    <w:p>
      <w:r>
        <w:rPr>
          <w:rFonts w:ascii="Calibri" w:hAnsi="Calibri"/>
          <w:i w:val="0"/>
        </w:rPr>
        <w:t>The parties acknowledge that unauthorised use or disclosure may cause harm not adequately remedied by damages, so a party may seek urgent injunctive relief. Each party remains responsible for loss it causes through breach, subject to applicable law and the general duty to mitigate.</w:t>
      </w:r>
    </w:p>
    <w:p>
      <w:pPr>
        <w:pStyle w:val="Heading1"/>
      </w:pPr>
      <w:r>
        <w:rPr>
          <w:color w:val="000000"/>
          <w:u w:val="none"/>
        </w:rPr>
        <w:t>9. General</w:t>
      </w:r>
    </w:p>
    <w:p>
      <w:r>
        <w:rPr>
          <w:rFonts w:ascii="Calibri" w:hAnsi="Calibri"/>
          <w:i w:val="0"/>
        </w:rPr>
        <w:t>This agreement is the entire agreement about confidentiality for the Purpose and may be changed only in writing signed by both parties. Invalid terms are read down or severed to the minimum extent required. Neither party may assign it without the other's consent, except to a successor to substantially all relevant business assets that assumes the obligations.</w:t>
      </w:r>
    </w:p>
    <w:p>
      <w:r>
        <w:rPr>
          <w:rFonts w:ascii="Calibri" w:hAnsi="Calibri"/>
          <w:i w:val="0"/>
        </w:rPr>
        <w:t>The agreement is governed by the laws of Victoria, Australia. The parties submit to Victorian courts. It may be signed electronically and in counterparts.</w:t>
      </w: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Heutrix Pty Ltd</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the other party</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r>
    </w:tbl>
    <w:sectPr>
      <w:headerReference w:type="default"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sz w:val="16"/>
      </w:rPr>
      <w:t xml:space="preserve">ABN 64 702 109 662 | ACN 702 109 662 | v2.2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color w:val="000000"/>
        <w:sz w:val="16"/>
      </w:rPr>
      <w:t>HEUTRIX | 04 | REVIEW DRAFT - DO NOT ISSUE OR SIGN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rPr>
        <w:rFonts w:ascii="Calibri" w:hAnsi="Calibri"/>
      </w:rPr>
    </w:lvl>
  </w:abstract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Confidentiality Agreement</dc:title>
  <dc:subject>Heutrix client legal pack</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2.2 review</cp:version>
</cp:coreProperties>
</file>