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 xml:space="preserve">Heutrix </w:t>
      </w:r>
      <w:r>
        <w:rPr>
          <w:color w:val="000000"/>
          <w:u w:val="none"/>
          <w:highlight w:val="yellow"/>
        </w:rPr>
        <w:t xml:space="preserve">pending</w:t>
      </w:r>
      <w:r>
        <w:rPr>
          <w:color w:val="000000"/>
          <w:u w:val="none"/>
        </w:rPr>
        <w:t xml:space="preserve"> decisions register</w:t>
      </w:r>
    </w:p>
    <w:p>
      <w:r>
        <w:t>Version 2.2 review draft | Prepared 13 September 2026 | Internal work-through register</w:t>
      </w:r>
    </w:p>
    <w:p>
      <w:r>
        <w:t xml:space="preserve">This register brings together the outstanding decisions identified across the Heutrix folder. Work through the applicable items below; record the answer and its evidence before changing the controlling record or issuing documents. Insurance and commercial decisions remain explicitly </w:t>
      </w:r>
      <w:r>
        <w:rPr>
          <w:highlight w:val="yellow"/>
        </w:rPr>
        <w:t xml:space="preserve">pending</w:t>
      </w:r>
      <w:r>
        <w:t xml:space="preserve">. The company name, business/notices address and two authorised directors are already supplied and must not be replaced with placeholders.</w:t>
      </w:r>
    </w:p>
    <w:p>
      <w:r>
        <w:t xml:space="preserve">Status key: </w:t>
      </w:r>
      <w:r>
        <w:rPr>
          <w:highlight w:val="yellow"/>
        </w:rPr>
        <w:t xml:space="preserve">PENDING</w:t>
      </w:r>
      <w:r>
        <w:t xml:space="preserve"> requires a decision before the stated activity. </w:t>
      </w:r>
      <w:r>
        <w:rPr>
          <w:highlight w:val="yellow"/>
        </w:rPr>
        <w:t xml:space="preserve">PARTLY RESOLVED</w:t>
      </w:r>
      <w:r>
        <w:t xml:space="preserve"> retains confirmed facts and identifies the remainder. </w:t>
      </w:r>
      <w:r>
        <w:rPr>
          <w:highlight w:val="yellow"/>
        </w:rPr>
        <w:t xml:space="preserve">CONDITIONAL</w:t>
      </w:r>
      <w:r>
        <w:t xml:space="preserve"> applies only if the activity is proposed. </w:t>
      </w:r>
      <w:r>
        <w:rPr>
          <w:highlight w:val="yellow"/>
        </w:rPr>
        <w:t xml:space="preserve">DEFERRED</w:t>
      </w:r>
      <w:r>
        <w:t xml:space="preserve"> is not a launch requirement. Yellow highlighting in Word/PDF and bold labels here make open items visible. </w:t>
      </w:r>
      <w:r>
        <w:rPr>
          <w:highlight w:val="yellow"/>
        </w:rPr>
        <w:t xml:space="preserve">[Placeholder]</w:t>
      </w:r>
      <w:r>
        <w:t xml:space="preserve"> identifies an unanswered field, not a proposed answer.</w:t>
      </w:r>
    </w:p>
    <w:p>
      <w:r>
        <w:t>Suggested work-through order: D01 and D03-D07 for authority and operations; D08-D14 for scope, commercial, insurance and client release; D15 for operator rehearsal; D16 for intended campaign activation. D02 and D19-D22 apply to the specific corporate, branding, collaboration or engagement activity. D17-D18 are conditional. D20 is deferred. No actual deadline or decision owner is assigned by this suggested order.</w:t>
      </w:r>
    </w:p>
    <w:p>
      <w:r>
        <w:t>Record handling: Use non-sensitive evidence references only. Client particulars, signatures, bank details, policies and confidential legal advice belong in an approved restricted workspace outside Git. An answer is not closed until the authorised decision and affected documents are reconciled. Document 09 contains the legal release criteria; this register tracks the work and does not grant approval.</w:t>
      </w:r>
    </w:p>
    <w:p>
      <w:pPr>
        <w:pStyle w:val="Heading1"/>
        <w:keepNext/>
      </w:pPr>
      <w:r>
        <w:rPr>
          <w:color w:val="000000"/>
          <w:u w:val="none"/>
        </w:rPr>
        <w:t>D01 Owner address and signing authority supplied</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Use Heutrix Pty Ltd, business/notices address 4 Ellaroo Ct, Clyde North VIC 3978, Australia, and authorised signatories Janith Dharmasinghe and Sachin Wickramasuriya, Directors. Settle formal notice email, execution method and signer selection per document; confirm any separate registered-office/incorporation evidence required for its stated use.</w:t>
      </w:r>
    </w:p>
    <w:p>
      <w:pPr>
        <w:keepNext/>
      </w:pPr>
      <w:r>
        <w:t>Closure evidence and controlling record: Owner-updated onboarding row above, confirmed for use in this task on 13 September. The identity checklist and legal worksheet G1 distinguish owner-supplied values from official ABR evidence.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D02 Contracting/trading name supplied</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Owner supplied Heutrix Pty Ltd as the business/trading name. Any separate Heutrix Labs registration, public brand relationship, Heutrix Assurance relationship, domain ownership and privately verified bank-account name remain separate.</w:t>
      </w:r>
    </w:p>
    <w:p>
      <w:pPr>
        <w:keepNext/>
      </w:pPr>
      <w:r>
        <w:t>Closure evidence and controlling record: Record the approved company name in client drafts; use the identity checklist for unresolved evidence. This does not register a separate business name or approve a public-site rename.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D03 Fit calls and paid delivery</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Confirm caller and backup, qualification/price approver, delivery lead, acceptance authority, privacy/incident lead and backup, finance owner and maintenance responsibility. Resolve “Sashane” versus “Shashane” and any intended Sach/Sachin public-name distinction.</w:t>
      </w:r>
    </w:p>
    <w:p>
      <w:pPr>
        <w:keepNext/>
      </w:pPr>
      <w:r>
        <w:t>Closure evidence and controlling record: Signing authority is owner confirmed for the two directors; other rows remain open. Record one accountable person, backup, authority boundaries and approval date per relevant role-register row. Enquiry cover is already confirmed; folder owners remain deliberately unassigned.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D04 Booking and follow-up</w:t>
      </w:r>
    </w:p>
    <w:p>
      <w:pPr>
        <w:keepNext/>
      </w:pPr>
      <w:r>
        <w:t xml:space="preserve">Status: </w:t>
      </w:r>
      <w:r>
        <w:rPr>
          <w:highlight w:val="yellow"/>
        </w:rPr>
        <w:t xml:space="preserve">PENDING</w:t>
      </w:r>
    </w:p>
    <w:p>
      <w:pPr>
        <w:keepNext/>
      </w:pPr>
      <w:r>
        <w:t>Decision or remaining information: Approve the actual manual time-agreement/invitation route or a scheduler, caller availability, channel, timezone, notice, cancellation/rescheduling and no-show rules. Define the trigger and coverage of the existing two-business-day commitment.</w:t>
      </w:r>
    </w:p>
    <w:p>
      <w:pPr>
        <w:keepNext/>
      </w:pPr>
      <w:r>
        <w:t>Closure evidence and controlling record: Approved Sales operating decisions, working booking/invitation evidence and named cover. Do not promise automated scheduling while it is unconfigured.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D05 Recording or progressing leads</w:t>
      </w:r>
    </w:p>
    <w:p>
      <w:pPr>
        <w:keepNext/>
      </w:pPr>
      <w:r>
        <w:t xml:space="preserve">Status: </w:t>
      </w:r>
      <w:r>
        <w:rPr>
          <w:highlight w:val="yellow"/>
        </w:rPr>
        <w:t xml:space="preserve">PENDING</w:t>
      </w:r>
    </w:p>
    <w:p>
      <w:pPr>
        <w:keepNext/>
      </w:pPr>
      <w:r>
        <w:t>Decision or remaining information: Select the restricted pipeline location, minimum fields, access, next-action ownership, duplicate/spam/failure handling, retention and reporting. Define proposal turnaround, no-fit/referral routes and any consent-based nurture.</w:t>
      </w:r>
    </w:p>
    <w:p>
      <w:pPr>
        <w:keepNext/>
      </w:pPr>
      <w:r>
        <w:t>Closure evidence and controlling record: Completed pipeline specification, relevant systems approval and synthetic lead-to-next-action evidence. Existing Formspree receipt does not prove these downstream steps.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D06 Client-data handling or new tools</w:t>
      </w:r>
    </w:p>
    <w:p>
      <w:pPr>
        <w:keepNext/>
      </w:pPr>
      <w:r>
        <w:t xml:space="preserve">Status: </w:t>
      </w:r>
      <w:r>
        <w:rPr>
          <w:highlight w:val="yellow"/>
        </w:rPr>
        <w:t xml:space="preserve">PENDING</w:t>
      </w:r>
    </w:p>
    <w:p>
      <w:pPr>
        <w:keepNext/>
      </w:pPr>
      <w:r>
        <w:t>Decision or remaining information: Approve exact email, calendar, CRM, signing, invoicing, storage, collaboration, credentials, ticketing and AI systems for each purpose/data class; name administrators and document access, MFA, locations, suppliers, backup, retention and exit.</w:t>
      </w:r>
    </w:p>
    <w:p>
      <w:pPr>
        <w:keepNext/>
      </w:pPr>
      <w:r>
        <w:t>Closure evidence and controlling record: Completed approved-systems register. Preserve the narrower approved website enquiry use; do not mark every business platform approved from that evidence.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D07 Real project data/access</w:t>
      </w:r>
    </w:p>
    <w:p>
      <w:pPr>
        <w:keepNext/>
      </w:pPr>
      <w:r>
        <w:t xml:space="preserve">Status: </w:t>
      </w:r>
      <w:r>
        <w:rPr>
          <w:highlight w:val="yellow"/>
        </w:rPr>
        <w:t xml:space="preserve">PENDING</w:t>
      </w:r>
    </w:p>
    <w:p>
      <w:pPr>
        <w:keepNext/>
      </w:pPr>
      <w:r>
        <w:t>Decision or remaining information: Confirm lawful handling responsibilities, collection notice, permitted information, client authority, retention by record category, deletion/backup exceptions, incident escalation and privacy requests. Assess subcontractor/offshore access, training recordings and consent where relevant.</w:t>
      </w:r>
    </w:p>
    <w:p>
      <w:pPr>
        <w:keepNext/>
      </w:pPr>
      <w:r>
        <w:t>Closure evidence and controlling record: Approved data standard, legal worksheet G5/G7, named operating owners and completed project-specific forms. Actual records belong outside Git.</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D08 Service-specific commitments</w:t>
      </w:r>
    </w:p>
    <w:p>
      <w:pPr>
        <w:keepNext/>
      </w:pPr>
      <w:r>
        <w:t xml:space="preserve">Status: </w:t>
      </w:r>
      <w:r>
        <w:rPr>
          <w:highlight w:val="yellow"/>
        </w:rPr>
        <w:t xml:space="preserve">PENDING</w:t>
      </w:r>
    </w:p>
    <w:p>
      <w:pPr>
        <w:keepNext/>
      </w:pPr>
      <w:r>
        <w:t>Decision or remaining information: Verify what tools and integrations the team can deliver now, who can support them, limits and evidence. Distinguish care-platform exports/imports from API or native integration capability; define licence/vendor responsibilities.</w:t>
      </w:r>
    </w:p>
    <w:p>
      <w:pPr>
        <w:keepNext/>
      </w:pPr>
      <w:r>
        <w:t>Closure evidence and controlling record: A maintained capability record with demonstrated work or synthetic tests, named competent operator, permitted claims and exclusions. The offer validation register lists questions, but no completed capability matrix was identified in the reviewed Company/Delivery sources.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D09 Standard scopes and dates</w:t>
      </w:r>
    </w:p>
    <w:p>
      <w:pPr>
        <w:keepNext/>
      </w:pPr>
      <w:r>
        <w:t xml:space="preserve">Status: </w:t>
      </w:r>
      <w:r>
        <w:rPr>
          <w:highlight w:val="yellow"/>
        </w:rPr>
        <w:t xml:space="preserve">PENDING</w:t>
      </w:r>
    </w:p>
    <w:p>
      <w:pPr>
        <w:keepNext/>
      </w:pPr>
      <w:r>
        <w:t>Decision or remaining information: Validate Diagnostics and AI Guardrails coverage, effort, deliverables, acceptance and maintenance. Confirm Transformation concurrency, included systems/roles/integrations, review/training effort, refinement limits, prerequisites and geographical/onsite rules.</w:t>
      </w:r>
    </w:p>
    <w:p>
      <w:pPr>
        <w:keepNext/>
      </w:pPr>
      <w:r>
        <w:t>Closure evidence and controlling record: Approved offer-validation entries reconciled to capacity/cost and the delivery standards. Preserve the existing conditional 2-4-week Transformation position; do not invent fixed windows for the other products.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D10 Acceptance and operational release</w:t>
      </w:r>
    </w:p>
    <w:p>
      <w:pPr>
        <w:keepNext/>
      </w:pPr>
      <w:r>
        <w:t xml:space="preserve">Status: </w:t>
      </w:r>
      <w:r>
        <w:rPr>
          <w:highlight w:val="yellow"/>
        </w:rPr>
        <w:t xml:space="preserve">PENDING</w:t>
      </w:r>
    </w:p>
    <w:p>
      <w:pPr>
        <w:keepNext/>
      </w:pPr>
      <w:r>
        <w:t>Decision or remaining information: Decide acceptance authority and missed-decision handling, qualifying defect definition and remedy, exact 30-day stabilisation trigger, support targets, third-party exclusions, change approval, delay/restart and rollback or parallel-run rules.</w:t>
      </w:r>
    </w:p>
    <w:p>
      <w:pPr>
        <w:keepNext/>
      </w:pPr>
      <w:r>
        <w:t>Closure evidence and controlling record: Legally and operationally reviewed delivery rules, legal worksheet G4/G6, completed scope and acceptance/change/handover forms. Proposed v2 wording remains a proposal.</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D11 Private quotes</w:t>
      </w:r>
    </w:p>
    <w:p>
      <w:pPr>
        <w:keepNext/>
      </w:pPr>
      <w:r>
        <w:t xml:space="preserve">Status: </w:t>
      </w:r>
      <w:r>
        <w:rPr>
          <w:highlight w:val="yellow"/>
        </w:rPr>
        <w:t xml:space="preserve">PENDING</w:t>
      </w:r>
    </w:p>
    <w:p>
      <w:pPr>
        <w:keepNext/>
      </w:pPr>
      <w:r>
        <w:t>Decision or remaining information: Approve consultant/offshore rates and treatment, loaded costs, delivery/non-delivery effort, non-labour costs, margin floor/target, private price bands and exception authority. Confirm any founding-engagement concession separately.</w:t>
      </w:r>
    </w:p>
    <w:p>
      <w:pPr>
        <w:keepNext/>
      </w:pPr>
      <w:r>
        <w:t>Closure evidence and controlling record: Signed-off pricing policy linked to the current integrated model. Older H4/report references and successful historical audits do not approve the current model. No public prices or pricing CTA.</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D12 Invoices or financial commitments</w:t>
      </w:r>
    </w:p>
    <w:p>
      <w:pPr>
        <w:keepNext/>
      </w:pPr>
      <w:r>
        <w:t xml:space="preserve">Status: </w:t>
      </w:r>
      <w:r>
        <w:rPr>
          <w:highlight w:val="yellow"/>
        </w:rPr>
        <w:t xml:space="preserve">PENDING</w:t>
      </w:r>
    </w:p>
    <w:p>
      <w:pPr>
        <w:keepNext/>
      </w:pPr>
      <w:r>
        <w:t>Decision or remaining information: Approve payment stages, due periods, deposits, refunds/cancellation, pause/reschedule, disputed invoices, debt follow-up and handover conditions. Confirm finance system, bank verification, actual cash/funding, operating-budget authority and tax assumptions.</w:t>
      </w:r>
    </w:p>
    <w:p>
      <w:pPr>
        <w:keepNext/>
      </w:pPr>
      <w:r>
        <w:t>Closure evidence and controlling record: Approved commercial schedule and budget/actual evidence in Finance, with relevant adviser review. Recheck GST effective status before actual invoicing; future-launch GST assumptions remain a scenario.</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D13 Paid work and insurance statements</w:t>
      </w:r>
    </w:p>
    <w:p>
      <w:pPr>
        <w:keepNext/>
      </w:pPr>
      <w:r>
        <w:t xml:space="preserve">Status: </w:t>
      </w:r>
      <w:r>
        <w:rPr>
          <w:highlight w:val="yellow"/>
        </w:rPr>
        <w:t xml:space="preserve">PENDING</w:t>
      </w:r>
    </w:p>
    <w:p>
      <w:pPr>
        <w:keepNext/>
      </w:pPr>
      <w:r>
        <w:t>Decision or remaining information: Establish cover appropriate to the intended services and data access, including limits, exclusions, excesses, expiry and subcontractor implications.</w:t>
      </w:r>
    </w:p>
    <w:p>
      <w:pPr>
        <w:keepNext/>
      </w:pPr>
      <w:r>
        <w:t>Closure evidence and controlling record: Current evidence references and reviewed scope/wording in the insurance register; align liability terms with the assessed position. Blank registers are not evidence that no policy exists.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D14 Client-document issue</w:t>
      </w:r>
    </w:p>
    <w:p>
      <w:pPr>
        <w:keepNext/>
      </w:pPr>
      <w:r>
        <w:t xml:space="preserve">Status: </w:t>
      </w:r>
      <w:r>
        <w:rPr>
          <w:highlight w:val="yellow"/>
        </w:rPr>
        <w:t xml:space="preserve">PENDING</w:t>
      </w:r>
    </w:p>
    <w:p>
      <w:pPr>
        <w:keepNext/>
      </w:pPr>
      <w:r>
        <w:t>Decision or remaining information: Obtain exact-version legal review and owner release approval for the CSA, orders/SOWs, NDA, privacy material and controls. Resolve liability, indemnities, IP/licensing/source delivery, confidentiality, governing-law and execution terms.</w:t>
      </w:r>
    </w:p>
    <w:p>
      <w:pPr>
        <w:keepNext/>
      </w:pPr>
      <w:r>
        <w:t>Closure evidence and controlling record: Complete relevant G1-G7 decisions in the single legal worksheet, then record approved versions/effective dates in the legal review register. Build a separate verified issue package only after approval.</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D15 Staff training and first engagement</w:t>
      </w:r>
    </w:p>
    <w:p>
      <w:pPr>
        <w:keepNext/>
      </w:pPr>
      <w:r>
        <w:t xml:space="preserve">Status: </w:t>
      </w:r>
      <w:r>
        <w:rPr>
          <w:highlight w:val="yellow"/>
        </w:rPr>
        <w:t xml:space="preserve">PENDING</w:t>
      </w:r>
    </w:p>
    <w:p>
      <w:pPr>
        <w:keepNext/>
      </w:pPr>
      <w:r>
        <w:t>Decision or remaining information: Reconcile and reissue the legacy Diagnostics operations pack, select the current operating masters and demonstrate the approved process end to end. Full sample findings, workflow/acceptance evidence, staff guide and runbook need identified current versions.</w:t>
      </w:r>
    </w:p>
    <w:p>
      <w:pPr>
        <w:keepNext/>
      </w:pPr>
      <w:r>
        <w:t>Closure evidence and controlling record: Approved native/export/ZIP versions through the Diagnostics gate; a dated synthetic rehearsal using the client template, with operators, expected/actual results and fixes. The legal v2 pack does not reissue the legacy delivery pack.</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D16 LinkedIn activation</w:t>
      </w:r>
    </w:p>
    <w:p>
      <w:pPr>
        <w:keepNext/>
      </w:pPr>
      <w:r>
        <w:t xml:space="preserve">Status: </w:t>
      </w:r>
      <w:r>
        <w:rPr>
          <w:highlight w:val="yellow"/>
        </w:rPr>
        <w:t xml:space="preserve">PARTLY RESOLVED</w:t>
      </w:r>
      <w:r>
        <w:t xml:space="preserve"> - </w:t>
      </w:r>
      <w:r>
        <w:rPr>
          <w:highlight w:val="yellow"/>
        </w:rPr>
        <w:t xml:space="preserve">PENDING</w:t>
      </w:r>
      <w:r>
        <w:t xml:space="preserve"> ITEMS</w:t>
      </w:r>
    </w:p>
    <w:p>
      <w:pPr>
        <w:keepNext/>
      </w:pPr>
      <w:r>
        <w:t>Decision or remaining information: Supply the existing Page URL, verify admin access, confirm publisher/backup, approve the actual caption/artwork/Page preview and activation, and verify the queue or manual publishing route.</w:t>
      </w:r>
    </w:p>
    <w:p>
      <w:pPr>
        <w:keepNext/>
      </w:pPr>
      <w:r>
        <w:t>Closure evidence and controlling record: Complete the campaign handoff. Record real post URLs/times only after publication. Facebook and founder activity remain deferred.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D17 Extra claims, tracking or nurture</w:t>
      </w:r>
    </w:p>
    <w:p>
      <w:pPr>
        <w:keepNext/>
      </w:pPr>
      <w:r>
        <w:t xml:space="preserve">Status: </w:t>
      </w:r>
      <w:r>
        <w:rPr>
          <w:highlight w:val="yellow"/>
        </w:rPr>
        <w:t xml:space="preserve">CONDITIONAL</w:t>
      </w:r>
    </w:p>
    <w:p>
      <w:pPr>
        <w:keepNext/>
      </w:pPr>
      <w:r>
        <w:t>Decision or remaining information: Expanded founder biographies/portraits/credentials, named testimonials or stronger outcome claims need separate evidence/permission. Any analytics, attribution expansion, ongoing nurture or marketing measurement needs an approved purpose, system and handling rules.</w:t>
      </w:r>
    </w:p>
    <w:p>
      <w:pPr>
        <w:keepNext/>
      </w:pPr>
      <w:r>
        <w:t>Closure evidence and controlling record: Update the proof register or resource/marketing operating record for the particular proposed use. Existing approved summaries, resources and bounded case studies are not reopened.</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D18 Targeting changes or scale-up</w:t>
      </w:r>
    </w:p>
    <w:p>
      <w:pPr>
        <w:keepNext/>
      </w:pPr>
      <w:r>
        <w:t xml:space="preserve">Status: </w:t>
      </w:r>
      <w:r>
        <w:rPr>
          <w:highlight w:val="yellow"/>
        </w:rPr>
        <w:t xml:space="preserve">CONDITIONAL</w:t>
      </w:r>
    </w:p>
    <w:p>
      <w:pPr>
        <w:keepNext/>
      </w:pPr>
      <w:r>
        <w:t>Decision or remaining information: Decide whether to adopt the market-fit research, sourcing criteria, test allocation and success/stop thresholds. Validate demand, conversion, acquisition effort and paid-delivery economics before changing market priority.</w:t>
      </w:r>
    </w:p>
    <w:p>
      <w:pPr>
        <w:keepNext/>
      </w:pPr>
      <w:r>
        <w:t>Closure evidence and controlling record: Owner decision on the market-fit evaluation supported by actual evidence. Disability-primary/allied-health-secondary positioning remains current; GP clinics remain future.</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D19 Shared founder rollout</w:t>
      </w:r>
    </w:p>
    <w:p>
      <w:pPr>
        <w:keepNext/>
      </w:pPr>
      <w:r>
        <w:t xml:space="preserve">Status: </w:t>
      </w:r>
      <w:r>
        <w:rPr>
          <w:highlight w:val="yellow"/>
        </w:rPr>
        <w:t xml:space="preserve">PENDING</w:t>
      </w:r>
    </w:p>
    <w:p>
      <w:pPr>
        <w:keepNext/>
      </w:pPr>
      <w:r>
        <w:t>Decision or remaining information: Confirm the root workspace remote/baseline, authorised accounts, review controls, named task reviewers and clone/pilot evidence. Resolve nested internal-report histories and obsolete task/project pointers without losing the migration.</w:t>
      </w:r>
    </w:p>
    <w:p>
      <w:pPr>
        <w:keepNext/>
      </w:pPr>
      <w:r>
        <w:t>Closure evidence and controlling record: Completed collaboration setup and explicit history decision. Website migration to its separate repository does not establish shared rollout of the whole operating folder. No reset, flattening or broad staging is authorised by this review.</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D20 Optional domain cutover</w:t>
      </w:r>
    </w:p>
    <w:p>
      <w:pPr>
        <w:keepNext/>
      </w:pPr>
      <w:r>
        <w:t xml:space="preserve">Status: </w:t>
      </w:r>
      <w:r>
        <w:rPr>
          <w:highlight w:val="yellow"/>
        </w:rPr>
        <w:t xml:space="preserve">DEFERRED</w:t>
      </w:r>
    </w:p>
    <w:p>
      <w:pPr>
        <w:keepNext/>
      </w:pPr>
      <w:r>
        <w:t>Decision or remaining information: If a custom-domain cutover is wanted, verify ownership/access and approve DNS, canonical/redirect, mailbox implications and rollback.</w:t>
      </w:r>
    </w:p>
    <w:p>
      <w:pPr>
        <w:keepNext/>
      </w:pPr>
      <w:r>
        <w:t>Closure evidence and controlling record: A separate cutover decision and live checks. Retaining workers.dev is already approved; absence of a cutover is not a defect in that approved decision.</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D21 Founder/company commitments</w:t>
      </w:r>
    </w:p>
    <w:p>
      <w:pPr>
        <w:keepNext/>
      </w:pPr>
      <w:r>
        <w:t xml:space="preserve">Status: </w:t>
      </w:r>
      <w:r>
        <w:rPr>
          <w:highlight w:val="yellow"/>
        </w:rPr>
        <w:t xml:space="preserve">PENDING</w:t>
      </w:r>
    </w:p>
    <w:p>
      <w:pPr>
        <w:keepNext/>
      </w:pPr>
      <w:r>
        <w:t>Decision or remaining information: Identify where approved ownership, director/governance authority, capital contributions, reserved decisions and founder IP/confidentiality arrangements are recorded. The reviewed Company guidance does not identify their controlling record; public founder biographies do not supply this authority.</w:t>
      </w:r>
    </w:p>
    <w:p>
      <w:pPr>
        <w:keepNext/>
      </w:pPr>
      <w:r>
        <w:t>Closure evidence and controlling record: Non-sensitive reference to the actual approved corporate/founder records, or an owner decision assigning their preparation and review. Do not infer equity, directorship, voting rights or signing powers from proposed operating roles.</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keepNext/>
      </w:pPr>
      <w:r>
        <w:rPr>
          <w:color w:val="000000"/>
          <w:u w:val="none"/>
        </w:rPr>
        <w:t>D22 Engaging personnel or suppliers</w:t>
      </w:r>
    </w:p>
    <w:p>
      <w:pPr>
        <w:keepNext/>
      </w:pPr>
      <w:r>
        <w:t xml:space="preserve">Status: </w:t>
      </w:r>
      <w:r>
        <w:rPr>
          <w:highlight w:val="yellow"/>
        </w:rPr>
        <w:t xml:space="preserve">CONDITIONAL</w:t>
      </w:r>
    </w:p>
    <w:p>
      <w:pPr>
        <w:keepNext/>
      </w:pPr>
      <w:r>
        <w:t>Decision or remaining information: Before any proposed contractor, offshore developer or supplier is engaged, confirm authority, scope, costs, classification/adviser review where relevant, IP/confidentiality, data access, insurance and exit arrangements.</w:t>
      </w:r>
    </w:p>
    <w:p>
      <w:pPr>
        <w:keepNext/>
      </w:pPr>
      <w:r>
        <w:t>Closure evidence and controlling record: Approved restricted engagement record and linked commercial/data approvals. The cost model is a planning assumption; the client CSA/NDA is not a supplier or employment agreement. No such engagement is established by this review.</w:t>
      </w:r>
    </w:p>
    <w:p>
      <w:pPr>
        <w:keepNext/>
      </w:pPr>
      <w:r>
        <w:t xml:space="preserve">Decision owner and authority: </w:t>
      </w:r>
      <w:r>
        <w:rPr>
          <w:highlight w:val="yellow"/>
        </w:rPr>
        <w:t xml:space="preserve">[Placeholder]</w:t>
      </w:r>
    </w:p>
    <w:p>
      <w:pPr>
        <w:keepNext/>
      </w:pPr>
      <w:r>
        <w:t xml:space="preserve">Target date or activity trigger: </w:t>
      </w:r>
      <w:r>
        <w:rPr>
          <w:highlight w:val="yellow"/>
        </w:rPr>
        <w:t xml:space="preserve">[Placeholder]</w:t>
      </w:r>
    </w:p>
    <w:p>
      <w:pPr>
        <w:keepNext/>
      </w:pPr>
      <w:r>
        <w:t xml:space="preserve">Decision and any conditions: </w:t>
      </w:r>
      <w:r>
        <w:rPr>
          <w:highlight w:val="yellow"/>
        </w:rPr>
        <w:t xml:space="preserve">[Placeholder]</w:t>
      </w:r>
    </w:p>
    <w:p>
      <w:pPr>
        <w:keepNext/>
      </w:pPr>
      <w:r>
        <w:t xml:space="preserve">Approval date and non-sensitive evidence reference: </w:t>
      </w:r>
      <w:r>
        <w:rPr>
          <w:highlight w:val="yellow"/>
        </w:rPr>
        <w:t xml:space="preserve">[Placeholder]</w:t>
      </w:r>
    </w:p>
    <w:p>
      <w:pPr>
        <w:keepNext/>
      </w:pPr>
      <w:r>
        <w:t xml:space="preserve">Affected documents updated and checked: </w:t>
      </w:r>
      <w:r>
        <w:rPr>
          <w:highlight w:val="yellow"/>
        </w:rPr>
        <w:t xml:space="preserve">[Placeholder]</w:t>
      </w:r>
    </w:p>
    <w:p>
      <w:r>
        <w:t xml:space="preserve">Closure reviewer and date: </w:t>
      </w:r>
      <w:r>
        <w:rPr>
          <w:highlight w:val="yellow"/>
        </w:rPr>
        <w:t xml:space="preserve">[Placeholder]</w:t>
      </w:r>
    </w:p>
    <w:p>
      <w:pPr>
        <w:pStyle w:val="Heading1"/>
      </w:pPr>
      <w:r>
        <w:rPr>
          <w:color w:val="000000"/>
          <w:u w:val="none"/>
        </w:rPr>
        <w:t>Per document and project completion</w:t>
      </w:r>
    </w:p>
    <w:p>
      <w:r>
        <w:t>Resolve the highlighted fields in each relevant document after the applicable decisions above. Repeated placeholders in client forms are project-specific completion fields, not additional company decisions. Supply the client/entity details, project scope, fee and GST treatment, dates, deliverables, acceptance criteria, data/system/AI selections, approvals and execution particulars as applicable. Mark a field not applicable only with an authorised reason. Do not sign, collect payment or start work while a relevant release gate remains open.</w:t>
      </w:r>
    </w:p>
    <w:p>
      <w:r>
        <w:t xml:space="preserve">Final approved master version and release evidence: </w:t>
      </w:r>
      <w:r>
        <w:rPr>
          <w:highlight w:val="yellow"/>
        </w:rPr>
        <w:t xml:space="preserve">[Placeholder]</w:t>
      </w:r>
    </w:p>
    <w:p>
      <w:r>
        <w:t xml:space="preserve">Separate approved issue package and verification: </w:t>
      </w:r>
      <w:r>
        <w:rPr>
          <w:highlight w:val="yellow"/>
        </w:rPr>
        <w:t xml:space="preserve">[Placeholder]</w:t>
      </w:r>
    </w:p>
    <w:p>
      <w:r>
        <w:t>Source: Controls Decisions register. This work-through register was extracted from D01-D22 on 13 September 2026; later decisions must be reconciled with that controlling record and the legal review register.</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10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