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FEDC" w14:textId="4C675CE2" w:rsidR="000F4CC9" w:rsidRDefault="00507C17" w:rsidP="00B4226A">
      <w:pPr>
        <w:pStyle w:val="BodyText"/>
        <w:jc w:val="both"/>
      </w:pPr>
      <w:r>
        <w:rPr>
          <w:b w:val="0"/>
          <w:iCs/>
          <w:sz w:val="22"/>
        </w:rPr>
        <w:tab/>
      </w:r>
      <w:r>
        <w:rPr>
          <w:b w:val="0"/>
          <w:iCs/>
          <w:sz w:val="22"/>
        </w:rPr>
        <w:tab/>
      </w:r>
    </w:p>
    <w:p w14:paraId="2F572806" w14:textId="77777777" w:rsidR="000F4CC9" w:rsidRDefault="000F4CC9" w:rsidP="00507C17">
      <w:pPr>
        <w:pStyle w:val="BodyText"/>
        <w:jc w:val="center"/>
      </w:pPr>
    </w:p>
    <w:p w14:paraId="3DA72973" w14:textId="77777777" w:rsidR="000F4CC9" w:rsidRDefault="000F4CC9" w:rsidP="00507C17">
      <w:pPr>
        <w:pStyle w:val="BodyText"/>
        <w:jc w:val="center"/>
      </w:pPr>
    </w:p>
    <w:p w14:paraId="2FE1CE19" w14:textId="77777777" w:rsidR="00AF7580" w:rsidRDefault="00AF7580" w:rsidP="00507C17">
      <w:pPr>
        <w:pStyle w:val="BodyText"/>
        <w:jc w:val="center"/>
        <w:rPr>
          <w:sz w:val="28"/>
          <w:szCs w:val="28"/>
        </w:rPr>
      </w:pPr>
    </w:p>
    <w:p w14:paraId="629345AA" w14:textId="77777777" w:rsidR="00AF7580" w:rsidRDefault="00AF7580" w:rsidP="00507C17">
      <w:pPr>
        <w:pStyle w:val="BodyText"/>
        <w:jc w:val="center"/>
        <w:rPr>
          <w:sz w:val="28"/>
          <w:szCs w:val="28"/>
        </w:rPr>
      </w:pPr>
    </w:p>
    <w:p w14:paraId="4310D1F6" w14:textId="77777777" w:rsidR="00AF7580" w:rsidRDefault="00AF7580" w:rsidP="00507C17">
      <w:pPr>
        <w:pStyle w:val="BodyText"/>
        <w:jc w:val="center"/>
        <w:rPr>
          <w:sz w:val="28"/>
          <w:szCs w:val="28"/>
        </w:rPr>
      </w:pPr>
    </w:p>
    <w:p w14:paraId="5F2C6872" w14:textId="77777777" w:rsidR="00AF7580" w:rsidRDefault="00AF7580" w:rsidP="00507C17">
      <w:pPr>
        <w:pStyle w:val="BodyText"/>
        <w:jc w:val="center"/>
        <w:rPr>
          <w:sz w:val="28"/>
          <w:szCs w:val="28"/>
        </w:rPr>
      </w:pPr>
    </w:p>
    <w:p w14:paraId="54C8A185" w14:textId="5E50DC9D" w:rsidR="00551DA6" w:rsidRDefault="00551DA6" w:rsidP="00507C17">
      <w:pPr>
        <w:pStyle w:val="BodyText"/>
        <w:jc w:val="center"/>
        <w:rPr>
          <w:sz w:val="28"/>
          <w:szCs w:val="28"/>
        </w:rPr>
      </w:pPr>
      <w:r>
        <w:rPr>
          <w:sz w:val="28"/>
          <w:szCs w:val="28"/>
        </w:rPr>
        <w:t>MMA YEARLY OUTLOOK</w:t>
      </w:r>
    </w:p>
    <w:p w14:paraId="52DA0669" w14:textId="7753A0E8" w:rsidR="00706612" w:rsidRDefault="00507C17" w:rsidP="00507C17">
      <w:pPr>
        <w:pStyle w:val="BodyText"/>
        <w:jc w:val="center"/>
        <w:rPr>
          <w:sz w:val="28"/>
          <w:szCs w:val="28"/>
        </w:rPr>
      </w:pPr>
      <w:r w:rsidRPr="00BD3683">
        <w:rPr>
          <w:sz w:val="28"/>
          <w:szCs w:val="28"/>
        </w:rPr>
        <w:t xml:space="preserve">THE </w:t>
      </w:r>
      <w:r w:rsidR="0041310E" w:rsidRPr="00BD3683">
        <w:rPr>
          <w:sz w:val="28"/>
          <w:szCs w:val="28"/>
        </w:rPr>
        <w:t>JAPANESE NIKKEI</w:t>
      </w:r>
      <w:r w:rsidR="0038363F" w:rsidRPr="00BD3683">
        <w:rPr>
          <w:sz w:val="28"/>
          <w:szCs w:val="28"/>
        </w:rPr>
        <w:t xml:space="preserve"> STOCK MARKET IN 20</w:t>
      </w:r>
      <w:r w:rsidR="0065221B">
        <w:rPr>
          <w:sz w:val="28"/>
          <w:szCs w:val="28"/>
        </w:rPr>
        <w:t>2</w:t>
      </w:r>
      <w:r w:rsidR="00B33F0E">
        <w:rPr>
          <w:sz w:val="28"/>
          <w:szCs w:val="28"/>
        </w:rPr>
        <w:t>6</w:t>
      </w:r>
    </w:p>
    <w:p w14:paraId="589BD894" w14:textId="59C31C84" w:rsidR="00551DA6" w:rsidRPr="003303E0" w:rsidRDefault="00551DA6" w:rsidP="00507C17">
      <w:pPr>
        <w:pStyle w:val="BodyText"/>
        <w:jc w:val="center"/>
        <w:rPr>
          <w:szCs w:val="24"/>
        </w:rPr>
      </w:pPr>
      <w:r w:rsidRPr="003303E0">
        <w:rPr>
          <w:szCs w:val="24"/>
        </w:rPr>
        <w:t>By RAYMOND MERRIMAN, C.T.A.</w:t>
      </w:r>
    </w:p>
    <w:p w14:paraId="30F3D657" w14:textId="77777777" w:rsidR="00F547EC" w:rsidRDefault="00F547EC" w:rsidP="00507C17">
      <w:pPr>
        <w:pStyle w:val="BodyText"/>
        <w:jc w:val="center"/>
      </w:pPr>
    </w:p>
    <w:p w14:paraId="2EA8DF3B" w14:textId="77777777" w:rsidR="00507C17" w:rsidRDefault="00507C17" w:rsidP="00507C17">
      <w:pPr>
        <w:pStyle w:val="BodyText"/>
        <w:jc w:val="both"/>
        <w:rPr>
          <w:sz w:val="22"/>
          <w:u w:val="single"/>
        </w:rPr>
      </w:pPr>
    </w:p>
    <w:p w14:paraId="1F88ABCF" w14:textId="40CF3584" w:rsidR="00BF65A0" w:rsidRDefault="004B6EBD" w:rsidP="000F17C1">
      <w:pPr>
        <w:pStyle w:val="BodyText"/>
        <w:jc w:val="both"/>
        <w:rPr>
          <w:b w:val="0"/>
          <w:sz w:val="22"/>
        </w:rPr>
      </w:pPr>
      <w:r w:rsidRPr="004B6EBD">
        <w:rPr>
          <w:sz w:val="22"/>
        </w:rPr>
        <w:t>REVIEW</w:t>
      </w:r>
      <w:r w:rsidRPr="004B6EBD">
        <w:rPr>
          <w:b w:val="0"/>
          <w:sz w:val="22"/>
        </w:rPr>
        <w:t xml:space="preserve"> </w:t>
      </w:r>
    </w:p>
    <w:p w14:paraId="6844EC75" w14:textId="4B79ABB9" w:rsidR="00701A9C" w:rsidRDefault="00701A9C" w:rsidP="000F17C1">
      <w:pPr>
        <w:pStyle w:val="BodyText"/>
        <w:jc w:val="both"/>
        <w:rPr>
          <w:b w:val="0"/>
          <w:sz w:val="22"/>
        </w:rPr>
      </w:pPr>
    </w:p>
    <w:p w14:paraId="3C914E6B" w14:textId="595C90B2" w:rsidR="00FB684E" w:rsidRDefault="00701A9C" w:rsidP="000F17C1">
      <w:pPr>
        <w:pStyle w:val="BodyText"/>
        <w:jc w:val="both"/>
        <w:rPr>
          <w:b w:val="0"/>
          <w:sz w:val="22"/>
        </w:rPr>
      </w:pPr>
      <w:r>
        <w:rPr>
          <w:b w:val="0"/>
          <w:sz w:val="22"/>
        </w:rPr>
        <w:tab/>
        <w:t xml:space="preserve">The Nikkei was </w:t>
      </w:r>
      <w:r w:rsidR="003905EF">
        <w:rPr>
          <w:b w:val="0"/>
          <w:sz w:val="22"/>
        </w:rPr>
        <w:t xml:space="preserve">bullish </w:t>
      </w:r>
      <w:r w:rsidR="00A30E56">
        <w:rPr>
          <w:b w:val="0"/>
          <w:sz w:val="22"/>
        </w:rPr>
        <w:t xml:space="preserve">throughout </w:t>
      </w:r>
      <w:proofErr w:type="gramStart"/>
      <w:r w:rsidR="00A30E56">
        <w:rPr>
          <w:b w:val="0"/>
          <w:sz w:val="22"/>
        </w:rPr>
        <w:t>most of</w:t>
      </w:r>
      <w:proofErr w:type="gramEnd"/>
      <w:r w:rsidR="00A30E56">
        <w:rPr>
          <w:b w:val="0"/>
          <w:sz w:val="22"/>
        </w:rPr>
        <w:t xml:space="preserve"> 202</w:t>
      </w:r>
      <w:r w:rsidR="00FB684E">
        <w:rPr>
          <w:b w:val="0"/>
          <w:sz w:val="22"/>
        </w:rPr>
        <w:t xml:space="preserve">5. Following an all-time high of July 11, </w:t>
      </w:r>
      <w:r w:rsidR="00A43949">
        <w:rPr>
          <w:b w:val="0"/>
          <w:sz w:val="22"/>
        </w:rPr>
        <w:t>2024,</w:t>
      </w:r>
      <w:r w:rsidR="00FB684E">
        <w:rPr>
          <w:b w:val="0"/>
          <w:sz w:val="22"/>
        </w:rPr>
        <w:t xml:space="preserve"> at 42,426, the Nikkei fell to double bottom lows of August 5, 2024, at 31,156 and 30,792 on A</w:t>
      </w:r>
      <w:r w:rsidR="00A43949">
        <w:rPr>
          <w:b w:val="0"/>
          <w:sz w:val="22"/>
        </w:rPr>
        <w:t>pril</w:t>
      </w:r>
      <w:r w:rsidR="00FB684E">
        <w:rPr>
          <w:b w:val="0"/>
          <w:sz w:val="22"/>
        </w:rPr>
        <w:t xml:space="preserve"> 7, 2025. The letter low coincided with U.S. President Donald Trump’s </w:t>
      </w:r>
      <w:r w:rsidR="00A43949">
        <w:rPr>
          <w:b w:val="0"/>
          <w:sz w:val="22"/>
        </w:rPr>
        <w:t xml:space="preserve">“Liberation Day” </w:t>
      </w:r>
      <w:r w:rsidR="00FB684E">
        <w:rPr>
          <w:b w:val="0"/>
          <w:sz w:val="22"/>
        </w:rPr>
        <w:t xml:space="preserve">announcement of steep tariffs on any U.S. companies importing goods outside of the country. World stock indices, including the Nikkei, went  into a </w:t>
      </w:r>
      <w:r w:rsidR="00A43949">
        <w:rPr>
          <w:b w:val="0"/>
          <w:sz w:val="22"/>
        </w:rPr>
        <w:t>min-</w:t>
      </w:r>
      <w:r w:rsidR="00FB684E">
        <w:rPr>
          <w:b w:val="0"/>
          <w:sz w:val="22"/>
        </w:rPr>
        <w:t>panic and sold off sharply in early 2025.</w:t>
      </w:r>
    </w:p>
    <w:p w14:paraId="78FAA470" w14:textId="77777777" w:rsidR="00FB684E" w:rsidRDefault="00FB684E" w:rsidP="000F17C1">
      <w:pPr>
        <w:pStyle w:val="BodyText"/>
        <w:jc w:val="both"/>
        <w:rPr>
          <w:b w:val="0"/>
          <w:sz w:val="22"/>
        </w:rPr>
      </w:pPr>
    </w:p>
    <w:p w14:paraId="423C6345" w14:textId="5F8BC40A" w:rsidR="00FB684E" w:rsidRDefault="00FB684E" w:rsidP="000F17C1">
      <w:pPr>
        <w:pStyle w:val="BodyText"/>
        <w:jc w:val="both"/>
        <w:rPr>
          <w:b w:val="0"/>
          <w:sz w:val="22"/>
        </w:rPr>
      </w:pPr>
      <w:r>
        <w:rPr>
          <w:b w:val="0"/>
          <w:sz w:val="22"/>
        </w:rPr>
        <w:tab/>
        <w:t xml:space="preserve">However, President Trump then began backing off </w:t>
      </w:r>
      <w:r w:rsidR="00A43949">
        <w:rPr>
          <w:b w:val="0"/>
          <w:sz w:val="22"/>
        </w:rPr>
        <w:t>his</w:t>
      </w:r>
      <w:r>
        <w:rPr>
          <w:b w:val="0"/>
          <w:sz w:val="22"/>
        </w:rPr>
        <w:t xml:space="preserve"> tariff proclamations and </w:t>
      </w:r>
      <w:proofErr w:type="gramStart"/>
      <w:r>
        <w:rPr>
          <w:b w:val="0"/>
          <w:sz w:val="22"/>
        </w:rPr>
        <w:t>many</w:t>
      </w:r>
      <w:proofErr w:type="gramEnd"/>
      <w:r>
        <w:rPr>
          <w:b w:val="0"/>
          <w:sz w:val="22"/>
        </w:rPr>
        <w:t xml:space="preserve"> world indices rebounded to new all-time highs</w:t>
      </w:r>
      <w:r w:rsidR="00A43949">
        <w:rPr>
          <w:b w:val="0"/>
          <w:sz w:val="22"/>
        </w:rPr>
        <w:t xml:space="preserve"> after April 7, 2025</w:t>
      </w:r>
      <w:r>
        <w:rPr>
          <w:b w:val="0"/>
          <w:sz w:val="22"/>
        </w:rPr>
        <w:t xml:space="preserve">. As of this writing in late November 2025, the Japanese  Nikkei has posted a new all-time high of 52,636 on November 4, 2025. This </w:t>
      </w:r>
      <w:r w:rsidR="00B7359B">
        <w:rPr>
          <w:b w:val="0"/>
          <w:sz w:val="22"/>
        </w:rPr>
        <w:t>represents</w:t>
      </w:r>
      <w:r>
        <w:rPr>
          <w:b w:val="0"/>
          <w:sz w:val="22"/>
        </w:rPr>
        <w:t xml:space="preserve"> a gain of over 70% in just seven months. </w:t>
      </w:r>
      <w:r w:rsidR="00A43949">
        <w:rPr>
          <w:b w:val="0"/>
          <w:sz w:val="22"/>
        </w:rPr>
        <w:t>Not</w:t>
      </w:r>
      <w:r>
        <w:rPr>
          <w:b w:val="0"/>
          <w:sz w:val="22"/>
        </w:rPr>
        <w:t xml:space="preserve"> only was the high above that of the prior year, but the yearly low was also below that of the previous year. This </w:t>
      </w:r>
      <w:r w:rsidR="00B7359B">
        <w:rPr>
          <w:b w:val="0"/>
          <w:sz w:val="22"/>
        </w:rPr>
        <w:t xml:space="preserve">is </w:t>
      </w:r>
      <w:r w:rsidR="00A43949">
        <w:rPr>
          <w:b w:val="0"/>
          <w:sz w:val="22"/>
        </w:rPr>
        <w:t xml:space="preserve">known as </w:t>
      </w:r>
      <w:r w:rsidR="00B7359B">
        <w:rPr>
          <w:b w:val="0"/>
          <w:sz w:val="22"/>
        </w:rPr>
        <w:t>a</w:t>
      </w:r>
      <w:r>
        <w:rPr>
          <w:b w:val="0"/>
          <w:sz w:val="22"/>
        </w:rPr>
        <w:t xml:space="preserve"> </w:t>
      </w:r>
      <w:r w:rsidR="00A43949">
        <w:rPr>
          <w:b w:val="0"/>
          <w:sz w:val="22"/>
        </w:rPr>
        <w:t>“</w:t>
      </w:r>
      <w:r>
        <w:rPr>
          <w:b w:val="0"/>
          <w:sz w:val="22"/>
        </w:rPr>
        <w:t>bullish key reversal</w:t>
      </w:r>
      <w:r w:rsidR="00A43949">
        <w:rPr>
          <w:b w:val="0"/>
          <w:sz w:val="22"/>
        </w:rPr>
        <w:t xml:space="preserve"> up”</w:t>
      </w:r>
      <w:r>
        <w:rPr>
          <w:b w:val="0"/>
          <w:sz w:val="22"/>
        </w:rPr>
        <w:t xml:space="preserve"> </w:t>
      </w:r>
      <w:r w:rsidR="00B7359B">
        <w:rPr>
          <w:b w:val="0"/>
          <w:sz w:val="22"/>
        </w:rPr>
        <w:t xml:space="preserve">technical signal </w:t>
      </w:r>
      <w:r>
        <w:rPr>
          <w:b w:val="0"/>
          <w:sz w:val="22"/>
        </w:rPr>
        <w:t>on a yea</w:t>
      </w:r>
      <w:r w:rsidR="00B7359B">
        <w:rPr>
          <w:b w:val="0"/>
          <w:sz w:val="22"/>
        </w:rPr>
        <w:t>rl</w:t>
      </w:r>
      <w:r>
        <w:rPr>
          <w:b w:val="0"/>
          <w:sz w:val="22"/>
        </w:rPr>
        <w:t>y level</w:t>
      </w:r>
      <w:r w:rsidR="00B7359B">
        <w:rPr>
          <w:b w:val="0"/>
          <w:sz w:val="22"/>
        </w:rPr>
        <w:t>.</w:t>
      </w:r>
    </w:p>
    <w:p w14:paraId="72D1A488" w14:textId="77777777" w:rsidR="00C64F50" w:rsidRDefault="00C64F50" w:rsidP="005B735F">
      <w:pPr>
        <w:pStyle w:val="BodyText"/>
        <w:jc w:val="both"/>
        <w:rPr>
          <w:b w:val="0"/>
          <w:iCs/>
          <w:sz w:val="22"/>
        </w:rPr>
      </w:pPr>
    </w:p>
    <w:p w14:paraId="3249FF94" w14:textId="3B0EA329" w:rsidR="00C64F50" w:rsidRDefault="00C64F50" w:rsidP="005B735F">
      <w:pPr>
        <w:pStyle w:val="BodyText"/>
        <w:jc w:val="both"/>
        <w:rPr>
          <w:b w:val="0"/>
          <w:iCs/>
          <w:sz w:val="22"/>
        </w:rPr>
      </w:pPr>
      <w:r>
        <w:rPr>
          <w:b w:val="0"/>
          <w:iCs/>
          <w:sz w:val="22"/>
        </w:rPr>
        <w:tab/>
        <w:t xml:space="preserve">Thus, we begin the year 2025 with </w:t>
      </w:r>
      <w:proofErr w:type="gramStart"/>
      <w:r>
        <w:rPr>
          <w:b w:val="0"/>
          <w:iCs/>
          <w:sz w:val="22"/>
        </w:rPr>
        <w:t>some</w:t>
      </w:r>
      <w:proofErr w:type="gramEnd"/>
      <w:r>
        <w:rPr>
          <w:b w:val="0"/>
          <w:iCs/>
          <w:sz w:val="22"/>
        </w:rPr>
        <w:t xml:space="preserve"> </w:t>
      </w:r>
      <w:r w:rsidR="00B7359B">
        <w:rPr>
          <w:b w:val="0"/>
          <w:iCs/>
          <w:sz w:val="22"/>
        </w:rPr>
        <w:t>slight adjustments</w:t>
      </w:r>
      <w:r>
        <w:rPr>
          <w:b w:val="0"/>
          <w:iCs/>
          <w:sz w:val="22"/>
        </w:rPr>
        <w:t xml:space="preserve"> in our </w:t>
      </w:r>
      <w:r w:rsidR="00B7359B">
        <w:rPr>
          <w:b w:val="0"/>
          <w:iCs/>
          <w:sz w:val="22"/>
        </w:rPr>
        <w:t>long-term cycles analysis as given last year</w:t>
      </w:r>
    </w:p>
    <w:p w14:paraId="7478C3AD" w14:textId="77777777" w:rsidR="00360660" w:rsidRDefault="00360660" w:rsidP="005B735F">
      <w:pPr>
        <w:pStyle w:val="BodyText"/>
        <w:jc w:val="both"/>
        <w:rPr>
          <w:b w:val="0"/>
          <w:iCs/>
          <w:sz w:val="22"/>
        </w:rPr>
      </w:pPr>
    </w:p>
    <w:tbl>
      <w:tblPr>
        <w:tblStyle w:val="TableGrid"/>
        <w:tblW w:w="0" w:type="auto"/>
        <w:tblLook w:val="04A0" w:firstRow="1" w:lastRow="0" w:firstColumn="1" w:lastColumn="0" w:noHBand="0" w:noVBand="1"/>
      </w:tblPr>
      <w:tblGrid>
        <w:gridCol w:w="2730"/>
        <w:gridCol w:w="2930"/>
        <w:gridCol w:w="3690"/>
      </w:tblGrid>
      <w:tr w:rsidR="001457CF" w14:paraId="4F419ABA" w14:textId="77777777" w:rsidTr="00950B5F">
        <w:trPr>
          <w:trHeight w:val="416"/>
        </w:trPr>
        <w:tc>
          <w:tcPr>
            <w:tcW w:w="2730" w:type="dxa"/>
          </w:tcPr>
          <w:p w14:paraId="1DF1AC1F" w14:textId="77777777" w:rsidR="001457CF" w:rsidRPr="006B232F" w:rsidRDefault="001457CF" w:rsidP="009F4E8C">
            <w:pPr>
              <w:spacing w:line="360" w:lineRule="auto"/>
              <w:rPr>
                <w:rFonts w:ascii="Calibri" w:hAnsi="Calibri" w:cs="Calibri"/>
                <w:b/>
                <w:bCs/>
                <w:sz w:val="32"/>
                <w:szCs w:val="32"/>
                <w:lang w:val="en-US"/>
              </w:rPr>
            </w:pPr>
            <w:r w:rsidRPr="006B232F">
              <w:rPr>
                <w:rFonts w:ascii="Calibri" w:hAnsi="Calibri" w:cs="Calibri"/>
                <w:b/>
                <w:bCs/>
                <w:sz w:val="32"/>
                <w:szCs w:val="32"/>
                <w:lang w:val="en-US"/>
              </w:rPr>
              <w:t>Cycle</w:t>
            </w:r>
          </w:p>
        </w:tc>
        <w:tc>
          <w:tcPr>
            <w:tcW w:w="2930" w:type="dxa"/>
          </w:tcPr>
          <w:p w14:paraId="5B64E37F" w14:textId="77777777" w:rsidR="001457CF" w:rsidRPr="006B232F" w:rsidRDefault="001457CF" w:rsidP="009F4E8C">
            <w:pPr>
              <w:spacing w:line="360" w:lineRule="auto"/>
              <w:rPr>
                <w:rFonts w:ascii="Calibri" w:hAnsi="Calibri" w:cs="Calibri"/>
                <w:b/>
                <w:bCs/>
                <w:sz w:val="32"/>
                <w:szCs w:val="32"/>
                <w:lang w:val="en-US"/>
              </w:rPr>
            </w:pPr>
            <w:r w:rsidRPr="006B232F">
              <w:rPr>
                <w:rFonts w:ascii="Calibri" w:hAnsi="Calibri" w:cs="Calibri"/>
                <w:b/>
                <w:bCs/>
                <w:sz w:val="32"/>
                <w:szCs w:val="32"/>
                <w:lang w:val="en-US"/>
              </w:rPr>
              <w:t>Start/Progress</w:t>
            </w:r>
          </w:p>
        </w:tc>
        <w:tc>
          <w:tcPr>
            <w:tcW w:w="3690" w:type="dxa"/>
          </w:tcPr>
          <w:p w14:paraId="48786EDB" w14:textId="77777777" w:rsidR="001457CF" w:rsidRPr="006B232F" w:rsidRDefault="001457CF" w:rsidP="009F4E8C">
            <w:pPr>
              <w:spacing w:line="360" w:lineRule="auto"/>
              <w:rPr>
                <w:rFonts w:ascii="Calibri" w:hAnsi="Calibri" w:cs="Calibri"/>
                <w:b/>
                <w:bCs/>
                <w:sz w:val="32"/>
                <w:szCs w:val="32"/>
                <w:lang w:val="en-US"/>
              </w:rPr>
            </w:pPr>
            <w:r w:rsidRPr="006B232F">
              <w:rPr>
                <w:rFonts w:ascii="Calibri" w:hAnsi="Calibri" w:cs="Calibri"/>
                <w:b/>
                <w:bCs/>
                <w:sz w:val="32"/>
                <w:szCs w:val="32"/>
                <w:lang w:val="en-US"/>
              </w:rPr>
              <w:t>Next Due</w:t>
            </w:r>
          </w:p>
        </w:tc>
      </w:tr>
      <w:tr w:rsidR="001457CF" w14:paraId="5EAE3D21" w14:textId="77777777" w:rsidTr="00950B5F">
        <w:trPr>
          <w:trHeight w:val="411"/>
        </w:trPr>
        <w:tc>
          <w:tcPr>
            <w:tcW w:w="2730" w:type="dxa"/>
          </w:tcPr>
          <w:p w14:paraId="22D9C33D" w14:textId="2B651D08" w:rsidR="001457CF" w:rsidRPr="00854EE7" w:rsidRDefault="001457CF" w:rsidP="009F4E8C">
            <w:pPr>
              <w:spacing w:line="360" w:lineRule="auto"/>
              <w:rPr>
                <w:rFonts w:ascii="Calibri" w:hAnsi="Calibri" w:cs="Calibri"/>
                <w:lang w:val="en-US"/>
              </w:rPr>
            </w:pPr>
            <w:r>
              <w:rPr>
                <w:rFonts w:ascii="Calibri" w:hAnsi="Calibri" w:cs="Calibri"/>
                <w:lang w:val="en-US"/>
              </w:rPr>
              <w:t>1</w:t>
            </w:r>
            <w:r w:rsidR="00B7359B">
              <w:rPr>
                <w:rFonts w:ascii="Calibri" w:hAnsi="Calibri" w:cs="Calibri"/>
                <w:lang w:val="en-US"/>
              </w:rPr>
              <w:t>9</w:t>
            </w:r>
            <w:r>
              <w:rPr>
                <w:rFonts w:ascii="Calibri" w:hAnsi="Calibri" w:cs="Calibri"/>
                <w:lang w:val="en-US"/>
              </w:rPr>
              <w:t>-</w:t>
            </w:r>
            <w:r w:rsidRPr="00854EE7">
              <w:rPr>
                <w:rFonts w:ascii="Calibri" w:hAnsi="Calibri" w:cs="Calibri"/>
                <w:lang w:val="en-US"/>
              </w:rPr>
              <w:t>year</w:t>
            </w:r>
          </w:p>
        </w:tc>
        <w:tc>
          <w:tcPr>
            <w:tcW w:w="2930" w:type="dxa"/>
          </w:tcPr>
          <w:p w14:paraId="1723C3B2" w14:textId="5D12BD83" w:rsidR="001457CF" w:rsidRPr="00854EE7" w:rsidRDefault="001457CF" w:rsidP="009F4E8C">
            <w:pPr>
              <w:spacing w:line="360" w:lineRule="auto"/>
              <w:rPr>
                <w:rFonts w:ascii="Calibri" w:hAnsi="Calibri" w:cs="Calibri"/>
                <w:lang w:val="en-US"/>
              </w:rPr>
            </w:pPr>
            <w:r>
              <w:rPr>
                <w:rFonts w:ascii="Calibri" w:hAnsi="Calibri" w:cs="Calibri"/>
                <w:lang w:val="en-US"/>
              </w:rPr>
              <w:t>October 2008</w:t>
            </w:r>
            <w:r w:rsidRPr="00854EE7">
              <w:rPr>
                <w:rFonts w:ascii="Calibri" w:hAnsi="Calibri" w:cs="Calibri"/>
                <w:lang w:val="en-US"/>
              </w:rPr>
              <w:t>, 1</w:t>
            </w:r>
            <w:r w:rsidR="00B7359B">
              <w:rPr>
                <w:rFonts w:ascii="Calibri" w:hAnsi="Calibri" w:cs="Calibri"/>
                <w:lang w:val="en-US"/>
              </w:rPr>
              <w:t>8</w:t>
            </w:r>
            <w:r w:rsidRPr="00854EE7">
              <w:rPr>
                <w:rFonts w:ascii="Calibri" w:hAnsi="Calibri" w:cs="Calibri"/>
                <w:lang w:val="en-US"/>
              </w:rPr>
              <w:t xml:space="preserve"> years</w:t>
            </w:r>
          </w:p>
        </w:tc>
        <w:tc>
          <w:tcPr>
            <w:tcW w:w="3690" w:type="dxa"/>
          </w:tcPr>
          <w:p w14:paraId="5217308C" w14:textId="56869ED1" w:rsidR="001457CF" w:rsidRPr="00854EE7" w:rsidRDefault="001457CF" w:rsidP="009F4E8C">
            <w:pPr>
              <w:spacing w:line="360" w:lineRule="auto"/>
              <w:rPr>
                <w:rFonts w:ascii="Calibri" w:hAnsi="Calibri" w:cs="Calibri"/>
                <w:lang w:val="en-US"/>
              </w:rPr>
            </w:pPr>
            <w:r>
              <w:rPr>
                <w:rFonts w:ascii="Calibri" w:hAnsi="Calibri" w:cs="Calibri"/>
                <w:lang w:val="en-US"/>
              </w:rPr>
              <w:t>202</w:t>
            </w:r>
            <w:r w:rsidR="00B7359B">
              <w:rPr>
                <w:rFonts w:ascii="Calibri" w:hAnsi="Calibri" w:cs="Calibri"/>
                <w:lang w:val="en-US"/>
              </w:rPr>
              <w:t>5</w:t>
            </w:r>
            <w:r>
              <w:rPr>
                <w:rFonts w:ascii="Calibri" w:hAnsi="Calibri" w:cs="Calibri"/>
                <w:lang w:val="en-US"/>
              </w:rPr>
              <w:t>-20</w:t>
            </w:r>
            <w:r w:rsidR="002F4290">
              <w:rPr>
                <w:rFonts w:ascii="Calibri" w:hAnsi="Calibri" w:cs="Calibri"/>
                <w:lang w:val="en-US"/>
              </w:rPr>
              <w:t>30</w:t>
            </w:r>
          </w:p>
        </w:tc>
      </w:tr>
      <w:tr w:rsidR="001457CF" w14:paraId="24A97191" w14:textId="77777777" w:rsidTr="00950B5F">
        <w:trPr>
          <w:trHeight w:val="420"/>
        </w:trPr>
        <w:tc>
          <w:tcPr>
            <w:tcW w:w="2730" w:type="dxa"/>
          </w:tcPr>
          <w:p w14:paraId="5D6C05C2" w14:textId="6D9F415B" w:rsidR="001457CF" w:rsidRPr="00854EE7" w:rsidRDefault="00B7359B" w:rsidP="009F4E8C">
            <w:pPr>
              <w:spacing w:line="360" w:lineRule="auto"/>
              <w:rPr>
                <w:rFonts w:ascii="Calibri" w:hAnsi="Calibri" w:cs="Calibri"/>
                <w:lang w:val="en-US"/>
              </w:rPr>
            </w:pPr>
            <w:r>
              <w:rPr>
                <w:rFonts w:ascii="Calibri" w:hAnsi="Calibri" w:cs="Calibri"/>
                <w:lang w:val="en-US"/>
              </w:rPr>
              <w:t>9.5-</w:t>
            </w:r>
            <w:r w:rsidR="001457CF" w:rsidRPr="00854EE7">
              <w:rPr>
                <w:rFonts w:ascii="Calibri" w:hAnsi="Calibri" w:cs="Calibri"/>
                <w:lang w:val="en-US"/>
              </w:rPr>
              <w:t>year</w:t>
            </w:r>
          </w:p>
        </w:tc>
        <w:tc>
          <w:tcPr>
            <w:tcW w:w="2930" w:type="dxa"/>
          </w:tcPr>
          <w:p w14:paraId="1425DD76" w14:textId="4BCDED58" w:rsidR="001457CF" w:rsidRPr="00854EE7" w:rsidRDefault="00B7359B" w:rsidP="009F4E8C">
            <w:pPr>
              <w:spacing w:line="360" w:lineRule="auto"/>
              <w:rPr>
                <w:rFonts w:ascii="Calibri" w:hAnsi="Calibri" w:cs="Calibri"/>
                <w:lang w:val="en-US"/>
              </w:rPr>
            </w:pPr>
            <w:r>
              <w:rPr>
                <w:rFonts w:ascii="Calibri" w:hAnsi="Calibri" w:cs="Calibri"/>
                <w:lang w:val="en-US"/>
              </w:rPr>
              <w:t>March 2020</w:t>
            </w:r>
            <w:r w:rsidR="001457CF">
              <w:rPr>
                <w:rFonts w:ascii="Calibri" w:hAnsi="Calibri" w:cs="Calibri"/>
                <w:lang w:val="en-US"/>
              </w:rPr>
              <w:t xml:space="preserve">, </w:t>
            </w:r>
            <w:r>
              <w:rPr>
                <w:rFonts w:ascii="Calibri" w:hAnsi="Calibri" w:cs="Calibri"/>
                <w:lang w:val="en-US"/>
              </w:rPr>
              <w:t>6</w:t>
            </w:r>
            <w:r w:rsidR="001457CF">
              <w:rPr>
                <w:rFonts w:ascii="Calibri" w:hAnsi="Calibri" w:cs="Calibri"/>
                <w:lang w:val="en-US"/>
              </w:rPr>
              <w:t xml:space="preserve"> years</w:t>
            </w:r>
          </w:p>
        </w:tc>
        <w:tc>
          <w:tcPr>
            <w:tcW w:w="3690" w:type="dxa"/>
          </w:tcPr>
          <w:p w14:paraId="0BADC69F" w14:textId="195C6AD2" w:rsidR="001457CF" w:rsidRPr="00854EE7" w:rsidRDefault="00B7359B" w:rsidP="009F4E8C">
            <w:pPr>
              <w:spacing w:line="360" w:lineRule="auto"/>
              <w:rPr>
                <w:rFonts w:ascii="Calibri" w:hAnsi="Calibri" w:cs="Calibri"/>
                <w:lang w:val="en-US"/>
              </w:rPr>
            </w:pPr>
            <w:r>
              <w:rPr>
                <w:rFonts w:ascii="Calibri" w:hAnsi="Calibri" w:cs="Calibri"/>
                <w:lang w:val="en-US"/>
              </w:rPr>
              <w:t>2027-2031</w:t>
            </w:r>
          </w:p>
        </w:tc>
      </w:tr>
      <w:tr w:rsidR="00B7359B" w14:paraId="3444F0E3" w14:textId="77777777" w:rsidTr="00950B5F">
        <w:trPr>
          <w:trHeight w:val="420"/>
        </w:trPr>
        <w:tc>
          <w:tcPr>
            <w:tcW w:w="2730" w:type="dxa"/>
          </w:tcPr>
          <w:p w14:paraId="517A2019" w14:textId="51BEDD14" w:rsidR="00B7359B" w:rsidRPr="00B7359B" w:rsidRDefault="00B7359B" w:rsidP="009F4E8C">
            <w:pPr>
              <w:spacing w:line="360" w:lineRule="auto"/>
              <w:rPr>
                <w:rFonts w:ascii="Calibri" w:hAnsi="Calibri" w:cs="Calibri"/>
                <w:lang w:val="en-US"/>
              </w:rPr>
            </w:pPr>
            <w:r>
              <w:rPr>
                <w:rFonts w:ascii="Calibri" w:hAnsi="Calibri" w:cs="Calibri"/>
                <w:lang w:val="en-US"/>
              </w:rPr>
              <w:t>6</w:t>
            </w:r>
            <w:r w:rsidR="00975A88">
              <w:rPr>
                <w:rFonts w:ascii="Calibri" w:hAnsi="Calibri" w:cs="Calibri"/>
                <w:lang w:val="en-US"/>
              </w:rPr>
              <w:t>.33</w:t>
            </w:r>
            <w:r>
              <w:rPr>
                <w:rFonts w:ascii="Calibri" w:hAnsi="Calibri" w:cs="Calibri"/>
                <w:lang w:val="en-US"/>
              </w:rPr>
              <w:t>-year</w:t>
            </w:r>
          </w:p>
        </w:tc>
        <w:tc>
          <w:tcPr>
            <w:tcW w:w="2930" w:type="dxa"/>
          </w:tcPr>
          <w:p w14:paraId="552E3194" w14:textId="1F33FF09" w:rsidR="00B7359B" w:rsidRPr="00B7359B" w:rsidRDefault="00B7359B" w:rsidP="009F4E8C">
            <w:pPr>
              <w:spacing w:line="360" w:lineRule="auto"/>
              <w:rPr>
                <w:rFonts w:ascii="Calibri" w:hAnsi="Calibri" w:cs="Calibri"/>
                <w:lang w:val="en-US"/>
              </w:rPr>
            </w:pPr>
            <w:r>
              <w:rPr>
                <w:rFonts w:ascii="Calibri" w:hAnsi="Calibri" w:cs="Calibri"/>
                <w:lang w:val="en-US"/>
              </w:rPr>
              <w:t>March 2022</w:t>
            </w:r>
            <w:r w:rsidR="00975A88">
              <w:rPr>
                <w:rFonts w:ascii="Calibri" w:hAnsi="Calibri" w:cs="Calibri"/>
                <w:lang w:val="en-US"/>
              </w:rPr>
              <w:t>, 4 years</w:t>
            </w:r>
          </w:p>
        </w:tc>
        <w:tc>
          <w:tcPr>
            <w:tcW w:w="3690" w:type="dxa"/>
          </w:tcPr>
          <w:p w14:paraId="6830D414" w14:textId="599234BB" w:rsidR="00B7359B" w:rsidRPr="00B7359B" w:rsidRDefault="00B7359B" w:rsidP="009F4E8C">
            <w:pPr>
              <w:spacing w:line="360" w:lineRule="auto"/>
              <w:rPr>
                <w:rFonts w:ascii="Calibri" w:hAnsi="Calibri" w:cs="Calibri"/>
                <w:lang w:val="en-US"/>
              </w:rPr>
            </w:pPr>
            <w:r>
              <w:rPr>
                <w:rFonts w:ascii="Calibri" w:hAnsi="Calibri" w:cs="Calibri"/>
                <w:lang w:val="en-US"/>
              </w:rPr>
              <w:t>2027-2030</w:t>
            </w:r>
          </w:p>
        </w:tc>
      </w:tr>
      <w:tr w:rsidR="001457CF" w14:paraId="762F576A" w14:textId="77777777" w:rsidTr="00950B5F">
        <w:trPr>
          <w:trHeight w:val="412"/>
        </w:trPr>
        <w:tc>
          <w:tcPr>
            <w:tcW w:w="2730" w:type="dxa"/>
          </w:tcPr>
          <w:p w14:paraId="13769D2C" w14:textId="256B852B" w:rsidR="001457CF" w:rsidRPr="00854EE7" w:rsidRDefault="00950B5F" w:rsidP="00520720">
            <w:pPr>
              <w:rPr>
                <w:rFonts w:ascii="Calibri" w:hAnsi="Calibri" w:cs="Calibri"/>
                <w:lang w:val="en-US"/>
              </w:rPr>
            </w:pPr>
            <w:r>
              <w:rPr>
                <w:rFonts w:ascii="Calibri" w:hAnsi="Calibri" w:cs="Calibri"/>
                <w:lang w:val="en-US"/>
              </w:rPr>
              <w:t>4.17-</w:t>
            </w:r>
            <w:r w:rsidR="001457CF" w:rsidRPr="00854EE7">
              <w:rPr>
                <w:rFonts w:ascii="Calibri" w:hAnsi="Calibri" w:cs="Calibri"/>
                <w:lang w:val="en-US"/>
              </w:rPr>
              <w:t>year</w:t>
            </w:r>
          </w:p>
        </w:tc>
        <w:tc>
          <w:tcPr>
            <w:tcW w:w="2930" w:type="dxa"/>
          </w:tcPr>
          <w:p w14:paraId="48785E20" w14:textId="628B2C06" w:rsidR="00851A09" w:rsidRPr="00854EE7" w:rsidRDefault="00851A09" w:rsidP="00851A09">
            <w:pPr>
              <w:rPr>
                <w:rFonts w:ascii="Calibri" w:hAnsi="Calibri" w:cs="Calibri"/>
                <w:lang w:val="en-US"/>
              </w:rPr>
            </w:pPr>
            <w:r>
              <w:rPr>
                <w:rFonts w:ascii="Calibri" w:hAnsi="Calibri" w:cs="Calibri"/>
                <w:lang w:val="en-US"/>
              </w:rPr>
              <w:t>August 2024 , 17 months, or</w:t>
            </w:r>
            <w:r w:rsidR="00975A88">
              <w:rPr>
                <w:rFonts w:ascii="Calibri" w:hAnsi="Calibri" w:cs="Calibri"/>
                <w:lang w:val="en-US"/>
              </w:rPr>
              <w:t xml:space="preserve"> </w:t>
            </w:r>
            <w:r>
              <w:rPr>
                <w:rFonts w:ascii="Calibri" w:hAnsi="Calibri" w:cs="Calibri"/>
                <w:lang w:val="en-US"/>
              </w:rPr>
              <w:t>April 2025</w:t>
            </w:r>
            <w:r w:rsidR="00975A88">
              <w:rPr>
                <w:rFonts w:ascii="Calibri" w:hAnsi="Calibri" w:cs="Calibri"/>
                <w:lang w:val="en-US"/>
              </w:rPr>
              <w:t xml:space="preserve"> months</w:t>
            </w:r>
          </w:p>
        </w:tc>
        <w:tc>
          <w:tcPr>
            <w:tcW w:w="3690" w:type="dxa"/>
          </w:tcPr>
          <w:p w14:paraId="6E0B6971" w14:textId="24E0EED0" w:rsidR="00851A09" w:rsidRDefault="00851A09" w:rsidP="00520720">
            <w:pPr>
              <w:rPr>
                <w:rFonts w:ascii="Calibri" w:hAnsi="Calibri" w:cs="Calibri"/>
                <w:bCs/>
                <w:iCs/>
                <w:lang w:val="en-US"/>
              </w:rPr>
            </w:pPr>
            <w:r>
              <w:rPr>
                <w:rFonts w:ascii="Calibri" w:hAnsi="Calibri" w:cs="Calibri"/>
                <w:bCs/>
                <w:iCs/>
                <w:lang w:val="en-US"/>
              </w:rPr>
              <w:t>April 2028-January 2029</w:t>
            </w:r>
            <w:r w:rsidR="00DB3A71">
              <w:rPr>
                <w:rFonts w:ascii="Calibri" w:hAnsi="Calibri" w:cs="Calibri"/>
                <w:bCs/>
                <w:iCs/>
                <w:lang w:val="en-US"/>
              </w:rPr>
              <w:t xml:space="preserve"> or</w:t>
            </w:r>
          </w:p>
          <w:p w14:paraId="4CBFD3DB" w14:textId="1024C7A3" w:rsidR="00950B5F" w:rsidRPr="00854EE7" w:rsidRDefault="009A7019" w:rsidP="00520720">
            <w:pPr>
              <w:rPr>
                <w:rFonts w:ascii="Calibri" w:hAnsi="Calibri" w:cs="Calibri"/>
                <w:lang w:val="en-US"/>
              </w:rPr>
            </w:pPr>
            <w:r>
              <w:rPr>
                <w:rFonts w:ascii="Calibri" w:hAnsi="Calibri" w:cs="Calibri"/>
                <w:bCs/>
                <w:iCs/>
                <w:lang w:val="en-US"/>
              </w:rPr>
              <w:t>December 2028-September 2029</w:t>
            </w:r>
          </w:p>
        </w:tc>
      </w:tr>
      <w:tr w:rsidR="001457CF" w14:paraId="613C6595" w14:textId="77777777" w:rsidTr="00950B5F">
        <w:trPr>
          <w:trHeight w:val="417"/>
        </w:trPr>
        <w:tc>
          <w:tcPr>
            <w:tcW w:w="2730" w:type="dxa"/>
          </w:tcPr>
          <w:p w14:paraId="11397C11" w14:textId="3A8658D5" w:rsidR="001457CF" w:rsidRPr="00854EE7" w:rsidRDefault="00950B5F" w:rsidP="009A7019">
            <w:pPr>
              <w:rPr>
                <w:rFonts w:ascii="Calibri" w:hAnsi="Calibri" w:cs="Calibri"/>
                <w:lang w:val="en-US"/>
              </w:rPr>
            </w:pPr>
            <w:r>
              <w:rPr>
                <w:rFonts w:ascii="Calibri" w:hAnsi="Calibri" w:cs="Calibri"/>
                <w:lang w:val="en-US"/>
              </w:rPr>
              <w:t>2</w:t>
            </w:r>
            <w:r w:rsidR="00DB3A71">
              <w:rPr>
                <w:rFonts w:ascii="Calibri" w:hAnsi="Calibri" w:cs="Calibri"/>
                <w:lang w:val="en-US"/>
              </w:rPr>
              <w:t>3</w:t>
            </w:r>
            <w:r>
              <w:rPr>
                <w:rFonts w:ascii="Calibri" w:hAnsi="Calibri" w:cs="Calibri"/>
                <w:lang w:val="en-US"/>
              </w:rPr>
              <w:t>-month</w:t>
            </w:r>
          </w:p>
        </w:tc>
        <w:tc>
          <w:tcPr>
            <w:tcW w:w="2930" w:type="dxa"/>
          </w:tcPr>
          <w:p w14:paraId="1C38385E" w14:textId="77777777" w:rsidR="009A7019" w:rsidRDefault="00950B5F" w:rsidP="009A7019">
            <w:pPr>
              <w:rPr>
                <w:rFonts w:ascii="Calibri" w:hAnsi="Calibri" w:cs="Calibri"/>
                <w:lang w:val="en-US"/>
              </w:rPr>
            </w:pPr>
            <w:r>
              <w:rPr>
                <w:rFonts w:ascii="Calibri" w:hAnsi="Calibri" w:cs="Calibri"/>
                <w:lang w:val="en-US"/>
              </w:rPr>
              <w:t xml:space="preserve">August 2024, </w:t>
            </w:r>
            <w:r w:rsidR="009A7019">
              <w:rPr>
                <w:rFonts w:ascii="Calibri" w:hAnsi="Calibri" w:cs="Calibri"/>
                <w:lang w:val="en-US"/>
              </w:rPr>
              <w:t>17</w:t>
            </w:r>
            <w:r>
              <w:rPr>
                <w:rFonts w:ascii="Calibri" w:hAnsi="Calibri" w:cs="Calibri"/>
                <w:lang w:val="en-US"/>
              </w:rPr>
              <w:t xml:space="preserve"> months</w:t>
            </w:r>
            <w:r w:rsidR="009A7019">
              <w:rPr>
                <w:rFonts w:ascii="Calibri" w:hAnsi="Calibri" w:cs="Calibri"/>
                <w:lang w:val="en-US"/>
              </w:rPr>
              <w:t>, or</w:t>
            </w:r>
          </w:p>
          <w:p w14:paraId="655943B5" w14:textId="67E9C59B" w:rsidR="009A7019" w:rsidRPr="00854EE7" w:rsidRDefault="009A7019" w:rsidP="009A7019">
            <w:pPr>
              <w:rPr>
                <w:rFonts w:ascii="Calibri" w:hAnsi="Calibri" w:cs="Calibri"/>
                <w:lang w:val="en-US"/>
              </w:rPr>
            </w:pPr>
            <w:r>
              <w:rPr>
                <w:rFonts w:ascii="Calibri" w:hAnsi="Calibri" w:cs="Calibri"/>
                <w:lang w:val="en-US"/>
              </w:rPr>
              <w:t>April 2025, 9 months</w:t>
            </w:r>
          </w:p>
        </w:tc>
        <w:tc>
          <w:tcPr>
            <w:tcW w:w="3690" w:type="dxa"/>
          </w:tcPr>
          <w:p w14:paraId="7B1F6918" w14:textId="599F84F6" w:rsidR="001457CF" w:rsidRDefault="00D237FC" w:rsidP="009A7019">
            <w:pPr>
              <w:rPr>
                <w:rFonts w:ascii="Calibri" w:hAnsi="Calibri" w:cs="Calibri"/>
                <w:lang w:val="en-US"/>
              </w:rPr>
            </w:pPr>
            <w:r>
              <w:rPr>
                <w:rFonts w:ascii="Calibri" w:hAnsi="Calibri" w:cs="Calibri"/>
                <w:lang w:val="en-US"/>
              </w:rPr>
              <w:t>May-September</w:t>
            </w:r>
            <w:r w:rsidR="00DB3A71">
              <w:rPr>
                <w:rFonts w:ascii="Calibri" w:hAnsi="Calibri" w:cs="Calibri"/>
                <w:lang w:val="en-US"/>
              </w:rPr>
              <w:t xml:space="preserve"> 2026 or</w:t>
            </w:r>
          </w:p>
          <w:p w14:paraId="2C87650D" w14:textId="03D1DA3F" w:rsidR="009A7019" w:rsidRPr="00854EE7" w:rsidRDefault="00DB3A71" w:rsidP="009A7019">
            <w:pPr>
              <w:rPr>
                <w:rFonts w:ascii="Calibri" w:hAnsi="Calibri" w:cs="Calibri"/>
                <w:lang w:val="en-US"/>
              </w:rPr>
            </w:pPr>
            <w:r>
              <w:rPr>
                <w:rFonts w:ascii="Calibri" w:hAnsi="Calibri" w:cs="Calibri"/>
                <w:lang w:val="en-US"/>
              </w:rPr>
              <w:t xml:space="preserve">January-May </w:t>
            </w:r>
            <w:r w:rsidR="009A7019">
              <w:rPr>
                <w:rFonts w:ascii="Calibri" w:hAnsi="Calibri" w:cs="Calibri"/>
                <w:lang w:val="en-US"/>
              </w:rPr>
              <w:t>2027</w:t>
            </w:r>
          </w:p>
        </w:tc>
      </w:tr>
    </w:tbl>
    <w:p w14:paraId="53604420" w14:textId="77777777" w:rsidR="00360660" w:rsidRPr="00C64F50" w:rsidRDefault="00360660" w:rsidP="009A7019">
      <w:pPr>
        <w:pStyle w:val="BodyText"/>
        <w:jc w:val="both"/>
        <w:rPr>
          <w:b w:val="0"/>
          <w:iCs/>
          <w:sz w:val="22"/>
        </w:rPr>
      </w:pPr>
    </w:p>
    <w:p w14:paraId="0073C55F" w14:textId="7DECEC74" w:rsidR="007C47D0" w:rsidRDefault="007C47D0" w:rsidP="0053671C">
      <w:pPr>
        <w:pStyle w:val="BodyText"/>
        <w:jc w:val="both"/>
        <w:rPr>
          <w:iCs/>
          <w:sz w:val="22"/>
        </w:rPr>
      </w:pPr>
      <w:r>
        <w:rPr>
          <w:iCs/>
          <w:sz w:val="22"/>
        </w:rPr>
        <w:t xml:space="preserve">THE </w:t>
      </w:r>
      <w:r w:rsidR="009A7019">
        <w:rPr>
          <w:iCs/>
          <w:sz w:val="22"/>
        </w:rPr>
        <w:t xml:space="preserve">19-YEAR </w:t>
      </w:r>
      <w:r>
        <w:rPr>
          <w:iCs/>
          <w:sz w:val="22"/>
        </w:rPr>
        <w:t>CYCLE</w:t>
      </w:r>
    </w:p>
    <w:p w14:paraId="513D8B45" w14:textId="4114A411" w:rsidR="00BA7BAF" w:rsidRDefault="00BA7BAF" w:rsidP="0053671C">
      <w:pPr>
        <w:pStyle w:val="BodyText"/>
        <w:jc w:val="both"/>
        <w:rPr>
          <w:iCs/>
          <w:sz w:val="22"/>
        </w:rPr>
      </w:pPr>
    </w:p>
    <w:p w14:paraId="4FE6FD63" w14:textId="4C5A0387" w:rsidR="00BA7BAF" w:rsidRDefault="00BA7BAF" w:rsidP="0053671C">
      <w:pPr>
        <w:pStyle w:val="BodyText"/>
        <w:jc w:val="both"/>
        <w:rPr>
          <w:b w:val="0"/>
          <w:bCs/>
          <w:iCs/>
          <w:sz w:val="22"/>
        </w:rPr>
      </w:pPr>
      <w:r>
        <w:rPr>
          <w:iCs/>
          <w:sz w:val="22"/>
        </w:rPr>
        <w:tab/>
      </w:r>
      <w:r w:rsidR="009A7019">
        <w:rPr>
          <w:b w:val="0"/>
          <w:bCs/>
          <w:iCs/>
          <w:sz w:val="22"/>
        </w:rPr>
        <w:t xml:space="preserve">A </w:t>
      </w:r>
      <w:r w:rsidR="002F4290">
        <w:rPr>
          <w:b w:val="0"/>
          <w:bCs/>
          <w:iCs/>
          <w:sz w:val="22"/>
        </w:rPr>
        <w:t>review of</w:t>
      </w:r>
      <w:r w:rsidR="009A7019">
        <w:rPr>
          <w:b w:val="0"/>
          <w:bCs/>
          <w:iCs/>
          <w:sz w:val="22"/>
        </w:rPr>
        <w:t xml:space="preserve"> Japanese Nikkei stock index since 1950 reveals the possibility of a 19-year cycle with a range of 17-21 years. This is slightly longer than the 17-year cycle we had been using, but </w:t>
      </w:r>
      <w:r w:rsidR="002F4290">
        <w:rPr>
          <w:b w:val="0"/>
          <w:bCs/>
          <w:iCs/>
          <w:sz w:val="22"/>
        </w:rPr>
        <w:t xml:space="preserve">it </w:t>
      </w:r>
      <w:r w:rsidR="009A7019">
        <w:rPr>
          <w:b w:val="0"/>
          <w:bCs/>
          <w:iCs/>
          <w:sz w:val="22"/>
        </w:rPr>
        <w:t xml:space="preserve">fits well if longer-term cycles </w:t>
      </w:r>
      <w:proofErr w:type="gramStart"/>
      <w:r w:rsidR="009A7019">
        <w:rPr>
          <w:b w:val="0"/>
          <w:bCs/>
          <w:iCs/>
          <w:sz w:val="22"/>
        </w:rPr>
        <w:t>are considered</w:t>
      </w:r>
      <w:proofErr w:type="gramEnd"/>
      <w:r w:rsidR="009A7019">
        <w:rPr>
          <w:b w:val="0"/>
          <w:bCs/>
          <w:iCs/>
          <w:sz w:val="22"/>
        </w:rPr>
        <w:t xml:space="preserve"> for June 1950, </w:t>
      </w:r>
      <w:r w:rsidR="002F4290">
        <w:rPr>
          <w:b w:val="0"/>
          <w:bCs/>
          <w:iCs/>
          <w:sz w:val="22"/>
        </w:rPr>
        <w:t>May 1970, November 1987, and October 2008. If this is correct, then the next 19-year cycle would be due 2025-2029.</w:t>
      </w:r>
    </w:p>
    <w:p w14:paraId="2BEEAE1A" w14:textId="77777777" w:rsidR="00AF7580" w:rsidRDefault="00AF7580" w:rsidP="0053671C">
      <w:pPr>
        <w:pStyle w:val="BodyText"/>
        <w:jc w:val="both"/>
        <w:rPr>
          <w:b w:val="0"/>
          <w:bCs/>
          <w:iCs/>
          <w:sz w:val="22"/>
        </w:rPr>
      </w:pPr>
    </w:p>
    <w:p w14:paraId="19ABC4B2" w14:textId="4C464F7E" w:rsidR="009C61AC" w:rsidRDefault="00B4194F" w:rsidP="0053671C">
      <w:pPr>
        <w:pStyle w:val="BodyText"/>
        <w:jc w:val="both"/>
        <w:rPr>
          <w:iCs/>
          <w:sz w:val="22"/>
        </w:rPr>
      </w:pPr>
      <w:r>
        <w:rPr>
          <w:iCs/>
          <w:noProof/>
          <w:sz w:val="22"/>
        </w:rPr>
        <w:drawing>
          <wp:inline distT="0" distB="0" distL="0" distR="0" wp14:anchorId="40647E7F" wp14:editId="2C8D9F49">
            <wp:extent cx="5943600" cy="3302635"/>
            <wp:effectExtent l="0" t="0" r="0" b="0"/>
            <wp:docPr id="1180321159"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21159" name="Picture 1" descr="A graph with lines and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086F89DE" w14:textId="77777777" w:rsidR="009C61AC" w:rsidRDefault="009C61AC" w:rsidP="0053671C">
      <w:pPr>
        <w:pStyle w:val="BodyText"/>
        <w:jc w:val="both"/>
        <w:rPr>
          <w:iCs/>
          <w:sz w:val="22"/>
        </w:rPr>
      </w:pPr>
    </w:p>
    <w:p w14:paraId="77115474" w14:textId="0ADDA906" w:rsidR="00AF7580" w:rsidRPr="00AF7580" w:rsidRDefault="00AF7580" w:rsidP="0053671C">
      <w:pPr>
        <w:pStyle w:val="BodyText"/>
        <w:jc w:val="both"/>
        <w:rPr>
          <w:i/>
          <w:sz w:val="22"/>
        </w:rPr>
      </w:pPr>
      <w:r>
        <w:rPr>
          <w:iCs/>
          <w:sz w:val="22"/>
        </w:rPr>
        <w:t>THE 9.</w:t>
      </w:r>
      <w:r w:rsidR="003006F0">
        <w:rPr>
          <w:iCs/>
          <w:sz w:val="22"/>
        </w:rPr>
        <w:t>5</w:t>
      </w:r>
      <w:r>
        <w:rPr>
          <w:iCs/>
          <w:sz w:val="22"/>
        </w:rPr>
        <w:t>5-YEAR CYCLE</w:t>
      </w:r>
    </w:p>
    <w:p w14:paraId="1B111E8D" w14:textId="7ACDC0EA" w:rsidR="00BA7BAF" w:rsidRDefault="00BA7BAF" w:rsidP="0053671C">
      <w:pPr>
        <w:pStyle w:val="BodyText"/>
        <w:jc w:val="both"/>
        <w:rPr>
          <w:b w:val="0"/>
          <w:bCs/>
          <w:iCs/>
          <w:sz w:val="22"/>
        </w:rPr>
      </w:pPr>
    </w:p>
    <w:p w14:paraId="2CD3BDA9" w14:textId="3B14C0E0" w:rsidR="00331E50" w:rsidRDefault="00331E50" w:rsidP="003C37B6">
      <w:pPr>
        <w:pStyle w:val="BodyText"/>
        <w:jc w:val="both"/>
        <w:rPr>
          <w:b w:val="0"/>
          <w:bCs/>
          <w:iCs/>
          <w:sz w:val="22"/>
        </w:rPr>
      </w:pPr>
      <w:r>
        <w:rPr>
          <w:b w:val="0"/>
          <w:bCs/>
          <w:iCs/>
          <w:sz w:val="22"/>
        </w:rPr>
        <w:tab/>
        <w:t>A</w:t>
      </w:r>
      <w:r w:rsidR="002F4290">
        <w:rPr>
          <w:b w:val="0"/>
          <w:bCs/>
          <w:iCs/>
          <w:sz w:val="22"/>
        </w:rPr>
        <w:t>s written before, all</w:t>
      </w:r>
      <w:r>
        <w:rPr>
          <w:b w:val="0"/>
          <w:bCs/>
          <w:iCs/>
          <w:sz w:val="22"/>
        </w:rPr>
        <w:t xml:space="preserve"> market cycle</w:t>
      </w:r>
      <w:r w:rsidR="002A119D">
        <w:rPr>
          <w:b w:val="0"/>
          <w:bCs/>
          <w:iCs/>
          <w:sz w:val="22"/>
        </w:rPr>
        <w:t>s</w:t>
      </w:r>
      <w:r>
        <w:rPr>
          <w:b w:val="0"/>
          <w:bCs/>
          <w:iCs/>
          <w:sz w:val="22"/>
        </w:rPr>
        <w:t xml:space="preserve"> break down into 2- or 3-phase patterns, which are sub-cycles of </w:t>
      </w:r>
      <w:proofErr w:type="gramStart"/>
      <w:r>
        <w:rPr>
          <w:b w:val="0"/>
          <w:bCs/>
          <w:iCs/>
          <w:sz w:val="22"/>
        </w:rPr>
        <w:t>approximately equal</w:t>
      </w:r>
      <w:proofErr w:type="gramEnd"/>
      <w:r>
        <w:rPr>
          <w:b w:val="0"/>
          <w:bCs/>
          <w:iCs/>
          <w:sz w:val="22"/>
        </w:rPr>
        <w:t xml:space="preserve"> length. </w:t>
      </w:r>
      <w:r w:rsidR="00F47256">
        <w:rPr>
          <w:b w:val="0"/>
          <w:bCs/>
          <w:iCs/>
          <w:sz w:val="22"/>
        </w:rPr>
        <w:t>Sometimes both patterns appear in the same cycle (</w:t>
      </w:r>
      <w:r w:rsidR="00B4194F">
        <w:rPr>
          <w:b w:val="0"/>
          <w:bCs/>
          <w:iCs/>
          <w:sz w:val="22"/>
        </w:rPr>
        <w:t>“</w:t>
      </w:r>
      <w:r w:rsidR="00F47256">
        <w:rPr>
          <w:b w:val="0"/>
          <w:bCs/>
          <w:iCs/>
          <w:sz w:val="22"/>
        </w:rPr>
        <w:t xml:space="preserve">combination pattern”). </w:t>
      </w:r>
      <w:r>
        <w:rPr>
          <w:b w:val="0"/>
          <w:bCs/>
          <w:iCs/>
          <w:sz w:val="22"/>
        </w:rPr>
        <w:t xml:space="preserve">In previous years, we have assumed that the 17-year cycle breaks down into two half-cycles of 8.33 years. </w:t>
      </w:r>
      <w:r w:rsidR="002F4290">
        <w:rPr>
          <w:b w:val="0"/>
          <w:bCs/>
          <w:iCs/>
          <w:sz w:val="22"/>
        </w:rPr>
        <w:t>But with the revised cycles labeling, we can see it breaks down into either two half cycles of 9.5 years with a range of 7.5-11 years</w:t>
      </w:r>
      <w:r w:rsidR="003006F0">
        <w:rPr>
          <w:b w:val="0"/>
          <w:bCs/>
          <w:iCs/>
          <w:sz w:val="22"/>
        </w:rPr>
        <w:t xml:space="preserve"> (it could also </w:t>
      </w:r>
      <w:proofErr w:type="gramStart"/>
      <w:r w:rsidR="003006F0">
        <w:rPr>
          <w:b w:val="0"/>
          <w:bCs/>
          <w:iCs/>
          <w:sz w:val="22"/>
        </w:rPr>
        <w:t>be considered</w:t>
      </w:r>
      <w:proofErr w:type="gramEnd"/>
      <w:r w:rsidR="003006F0">
        <w:rPr>
          <w:b w:val="0"/>
          <w:bCs/>
          <w:iCs/>
          <w:sz w:val="22"/>
        </w:rPr>
        <w:t xml:space="preserve"> 9.25-years based on this)</w:t>
      </w:r>
      <w:r w:rsidR="002F4290">
        <w:rPr>
          <w:b w:val="0"/>
          <w:bCs/>
          <w:iCs/>
          <w:sz w:val="22"/>
        </w:rPr>
        <w:t>, or a three-phase pattern of sub-cycles with a periodicity of 6.33 years and a range of 5-8 years. Measured from the double bottom lows of the 19-year cycle in October 2008 and March 2009, we can see a 7.5-11-year half cycle bottoming with the Pandemic low of March 2020, approximately 11 years later. The next half-cycle is therefore due in 2027-2031 and will overlap with the greater 19-year cycle due in 2025-2030.</w:t>
      </w:r>
    </w:p>
    <w:p w14:paraId="04B68084" w14:textId="77777777" w:rsidR="00AF7580" w:rsidRDefault="00AF7580" w:rsidP="003C37B6">
      <w:pPr>
        <w:pStyle w:val="BodyText"/>
        <w:jc w:val="both"/>
        <w:rPr>
          <w:b w:val="0"/>
          <w:bCs/>
          <w:iCs/>
          <w:sz w:val="22"/>
        </w:rPr>
      </w:pPr>
    </w:p>
    <w:p w14:paraId="39A2C95D" w14:textId="227161B5" w:rsidR="00AF7580" w:rsidRPr="00AF7580" w:rsidRDefault="00AF7580" w:rsidP="003C37B6">
      <w:pPr>
        <w:pStyle w:val="BodyText"/>
        <w:jc w:val="both"/>
        <w:rPr>
          <w:iCs/>
          <w:sz w:val="22"/>
        </w:rPr>
      </w:pPr>
      <w:r>
        <w:rPr>
          <w:iCs/>
          <w:sz w:val="22"/>
        </w:rPr>
        <w:t>THE 6.33-YEAR CYCLE</w:t>
      </w:r>
    </w:p>
    <w:p w14:paraId="56BC5B46" w14:textId="77777777" w:rsidR="002F4290" w:rsidRDefault="002F4290" w:rsidP="003C37B6">
      <w:pPr>
        <w:pStyle w:val="BodyText"/>
        <w:jc w:val="both"/>
        <w:rPr>
          <w:b w:val="0"/>
          <w:bCs/>
          <w:iCs/>
          <w:sz w:val="22"/>
        </w:rPr>
      </w:pPr>
    </w:p>
    <w:p w14:paraId="22CC921F" w14:textId="53887288" w:rsidR="00360660" w:rsidRDefault="002F4290" w:rsidP="003C37B6">
      <w:pPr>
        <w:pStyle w:val="BodyText"/>
        <w:jc w:val="both"/>
        <w:rPr>
          <w:b w:val="0"/>
          <w:bCs/>
          <w:iCs/>
          <w:sz w:val="22"/>
        </w:rPr>
      </w:pPr>
      <w:r>
        <w:rPr>
          <w:b w:val="0"/>
          <w:bCs/>
          <w:iCs/>
          <w:sz w:val="22"/>
        </w:rPr>
        <w:tab/>
        <w:t xml:space="preserve">It is also possible to </w:t>
      </w:r>
      <w:r w:rsidR="00B4194F">
        <w:rPr>
          <w:b w:val="0"/>
          <w:bCs/>
          <w:iCs/>
          <w:sz w:val="22"/>
        </w:rPr>
        <w:t>identify</w:t>
      </w:r>
      <w:r>
        <w:rPr>
          <w:b w:val="0"/>
          <w:bCs/>
          <w:iCs/>
          <w:sz w:val="22"/>
        </w:rPr>
        <w:t xml:space="preserve"> a 3-phase pattern of </w:t>
      </w:r>
      <w:r w:rsidR="00AF7580">
        <w:rPr>
          <w:b w:val="0"/>
          <w:bCs/>
          <w:iCs/>
          <w:sz w:val="22"/>
        </w:rPr>
        <w:t>6.33-</w:t>
      </w:r>
      <w:r>
        <w:rPr>
          <w:b w:val="0"/>
          <w:bCs/>
          <w:iCs/>
          <w:sz w:val="22"/>
        </w:rPr>
        <w:t xml:space="preserve">year sub-cycles unfolding </w:t>
      </w:r>
      <w:r w:rsidR="00B4194F">
        <w:rPr>
          <w:b w:val="0"/>
          <w:bCs/>
          <w:iCs/>
          <w:sz w:val="22"/>
        </w:rPr>
        <w:t>with a</w:t>
      </w:r>
      <w:r w:rsidR="00AF7580">
        <w:rPr>
          <w:b w:val="0"/>
          <w:bCs/>
          <w:iCs/>
          <w:sz w:val="22"/>
        </w:rPr>
        <w:t xml:space="preserve"> range of 5-8 years </w:t>
      </w:r>
      <w:r>
        <w:rPr>
          <w:b w:val="0"/>
          <w:bCs/>
          <w:iCs/>
          <w:sz w:val="22"/>
        </w:rPr>
        <w:t xml:space="preserve">since October 2008 (and even before). The double bottom lows of February and June 2016, during the Brexit </w:t>
      </w:r>
      <w:r w:rsidR="00627AD4">
        <w:rPr>
          <w:b w:val="0"/>
          <w:bCs/>
          <w:iCs/>
          <w:sz w:val="22"/>
        </w:rPr>
        <w:t xml:space="preserve">turmoil </w:t>
      </w:r>
      <w:r>
        <w:rPr>
          <w:b w:val="0"/>
          <w:bCs/>
          <w:iCs/>
          <w:sz w:val="22"/>
        </w:rPr>
        <w:t xml:space="preserve">in the United Kingdom, would qualify. </w:t>
      </w:r>
      <w:r w:rsidR="00595397">
        <w:rPr>
          <w:b w:val="0"/>
          <w:bCs/>
          <w:iCs/>
          <w:sz w:val="22"/>
        </w:rPr>
        <w:t xml:space="preserve">The next would have been due 2021-2024. There was a notable low in March 2022, although it was not as significant as either the low in March 2020 or April 2025. It could </w:t>
      </w:r>
      <w:r w:rsidR="00AF7580">
        <w:rPr>
          <w:b w:val="0"/>
          <w:bCs/>
          <w:iCs/>
          <w:sz w:val="22"/>
        </w:rPr>
        <w:t xml:space="preserve">still </w:t>
      </w:r>
      <w:r w:rsidR="00595397">
        <w:rPr>
          <w:b w:val="0"/>
          <w:bCs/>
          <w:iCs/>
          <w:sz w:val="22"/>
        </w:rPr>
        <w:t xml:space="preserve">qualify </w:t>
      </w:r>
      <w:r w:rsidR="00AF7580">
        <w:rPr>
          <w:b w:val="0"/>
          <w:bCs/>
          <w:iCs/>
          <w:sz w:val="22"/>
        </w:rPr>
        <w:t xml:space="preserve">as a 5-8 year cycle </w:t>
      </w:r>
      <w:r w:rsidR="00595397">
        <w:rPr>
          <w:b w:val="0"/>
          <w:bCs/>
          <w:iCs/>
          <w:sz w:val="22"/>
        </w:rPr>
        <w:t>based on its pattern. If it is applicable, it is next due in 2027-2030. However, as it was not as pronounced as the March 2020 or April 2025 lows, we will assign greater weight to the 19-year cycle breaking down into two dominant 9.5-year half cycles. Thus, we will focus upon the phases of the 9.5-year cycle for further guidance in our market timing calculations.</w:t>
      </w:r>
    </w:p>
    <w:p w14:paraId="4D338FB8" w14:textId="77777777" w:rsidR="00360660" w:rsidRDefault="00360660" w:rsidP="003C37B6">
      <w:pPr>
        <w:pStyle w:val="BodyText"/>
        <w:jc w:val="both"/>
        <w:rPr>
          <w:b w:val="0"/>
          <w:bCs/>
          <w:iCs/>
          <w:sz w:val="22"/>
        </w:rPr>
      </w:pPr>
    </w:p>
    <w:p w14:paraId="0639B22A" w14:textId="69E26019" w:rsidR="00637844" w:rsidRDefault="00637844" w:rsidP="00DB6C81">
      <w:pPr>
        <w:pStyle w:val="BodyText"/>
        <w:jc w:val="both"/>
        <w:rPr>
          <w:iCs/>
          <w:sz w:val="22"/>
        </w:rPr>
      </w:pPr>
      <w:r>
        <w:rPr>
          <w:iCs/>
          <w:sz w:val="22"/>
        </w:rPr>
        <w:t>THE 4</w:t>
      </w:r>
      <w:r w:rsidR="00B4194F">
        <w:rPr>
          <w:iCs/>
          <w:sz w:val="22"/>
        </w:rPr>
        <w:t>9-MONTH</w:t>
      </w:r>
      <w:r>
        <w:rPr>
          <w:iCs/>
          <w:sz w:val="22"/>
        </w:rPr>
        <w:t xml:space="preserve"> CYCLE</w:t>
      </w:r>
    </w:p>
    <w:p w14:paraId="6E74AFED" w14:textId="77777777" w:rsidR="00637844" w:rsidRDefault="00637844" w:rsidP="00DB6C81">
      <w:pPr>
        <w:pStyle w:val="BodyText"/>
        <w:jc w:val="both"/>
        <w:rPr>
          <w:iCs/>
          <w:sz w:val="22"/>
        </w:rPr>
      </w:pPr>
    </w:p>
    <w:p w14:paraId="057EB462" w14:textId="466CA597" w:rsidR="009B2ABA" w:rsidRDefault="00637844" w:rsidP="00DB6C81">
      <w:pPr>
        <w:pStyle w:val="BodyText"/>
        <w:jc w:val="both"/>
        <w:rPr>
          <w:b w:val="0"/>
          <w:iCs/>
          <w:sz w:val="22"/>
        </w:rPr>
      </w:pPr>
      <w:r>
        <w:rPr>
          <w:iCs/>
          <w:sz w:val="22"/>
        </w:rPr>
        <w:tab/>
      </w:r>
      <w:r w:rsidR="009B2ABA">
        <w:rPr>
          <w:b w:val="0"/>
          <w:iCs/>
          <w:sz w:val="22"/>
        </w:rPr>
        <w:t>The</w:t>
      </w:r>
      <w:r w:rsidR="005B3152">
        <w:rPr>
          <w:b w:val="0"/>
          <w:iCs/>
          <w:sz w:val="22"/>
        </w:rPr>
        <w:t xml:space="preserve"> </w:t>
      </w:r>
      <w:r w:rsidR="009C61AC">
        <w:rPr>
          <w:b w:val="0"/>
          <w:iCs/>
          <w:sz w:val="22"/>
        </w:rPr>
        <w:t xml:space="preserve">9.5-year half cycle </w:t>
      </w:r>
      <w:proofErr w:type="gramStart"/>
      <w:r w:rsidR="009C61AC">
        <w:rPr>
          <w:b w:val="0"/>
          <w:iCs/>
          <w:sz w:val="22"/>
        </w:rPr>
        <w:t>doesn’t</w:t>
      </w:r>
      <w:proofErr w:type="gramEnd"/>
      <w:r w:rsidR="009C61AC">
        <w:rPr>
          <w:b w:val="0"/>
          <w:iCs/>
          <w:sz w:val="22"/>
        </w:rPr>
        <w:t xml:space="preserve"> quite break down into two 4.75-year cycles. More often, it breaks down into 49 month cycles with a range of 44-53 months. These can </w:t>
      </w:r>
      <w:proofErr w:type="gramStart"/>
      <w:r w:rsidR="009C61AC">
        <w:rPr>
          <w:b w:val="0"/>
          <w:iCs/>
          <w:sz w:val="22"/>
        </w:rPr>
        <w:t>be seen</w:t>
      </w:r>
      <w:proofErr w:type="gramEnd"/>
      <w:r w:rsidR="009C61AC">
        <w:rPr>
          <w:b w:val="0"/>
          <w:iCs/>
          <w:sz w:val="22"/>
        </w:rPr>
        <w:t xml:space="preserve"> on the enclosed monthly chart with </w:t>
      </w:r>
      <w:proofErr w:type="gramStart"/>
      <w:r w:rsidR="009C61AC">
        <w:rPr>
          <w:b w:val="0"/>
          <w:iCs/>
          <w:sz w:val="22"/>
        </w:rPr>
        <w:t>several</w:t>
      </w:r>
      <w:proofErr w:type="gramEnd"/>
      <w:r w:rsidR="009C61AC">
        <w:rPr>
          <w:b w:val="0"/>
          <w:iCs/>
          <w:sz w:val="22"/>
        </w:rPr>
        <w:t xml:space="preserve"> double bottom lows, such as October 2008 and March 2009, November 2011 and June 2012, </w:t>
      </w:r>
      <w:r w:rsidR="009C61AC">
        <w:rPr>
          <w:b w:val="0"/>
          <w:iCs/>
          <w:sz w:val="22"/>
        </w:rPr>
        <w:lastRenderedPageBreak/>
        <w:t>February and June 2016, March 2020</w:t>
      </w:r>
      <w:r w:rsidR="00DB3A71">
        <w:rPr>
          <w:b w:val="0"/>
          <w:iCs/>
          <w:sz w:val="22"/>
        </w:rPr>
        <w:t xml:space="preserve"> (no double bottom in the pandemic crisis)</w:t>
      </w:r>
      <w:r w:rsidR="009C61AC">
        <w:rPr>
          <w:b w:val="0"/>
          <w:iCs/>
          <w:sz w:val="22"/>
        </w:rPr>
        <w:t>, and then the last double bottom of August 2024 and April 2025. The last one is particularly interesting because the first leg of the double bottom, in August 2024, fell on time in the 53</w:t>
      </w:r>
      <w:r w:rsidR="009C61AC" w:rsidRPr="009C61AC">
        <w:rPr>
          <w:b w:val="0"/>
          <w:iCs/>
          <w:sz w:val="22"/>
          <w:vertAlign w:val="superscript"/>
        </w:rPr>
        <w:t>rd</w:t>
      </w:r>
      <w:r w:rsidR="009C61AC">
        <w:rPr>
          <w:b w:val="0"/>
          <w:iCs/>
          <w:sz w:val="22"/>
        </w:rPr>
        <w:t xml:space="preserve"> </w:t>
      </w:r>
      <w:r w:rsidR="003006F0">
        <w:rPr>
          <w:b w:val="0"/>
          <w:iCs/>
          <w:sz w:val="22"/>
        </w:rPr>
        <w:t>month</w:t>
      </w:r>
      <w:r w:rsidR="009C61AC">
        <w:rPr>
          <w:b w:val="0"/>
          <w:iCs/>
          <w:sz w:val="22"/>
        </w:rPr>
        <w:t xml:space="preserve">. But the Trump Tariff mini-panic of April </w:t>
      </w:r>
      <w:r w:rsidR="003006F0">
        <w:rPr>
          <w:b w:val="0"/>
          <w:iCs/>
          <w:sz w:val="22"/>
        </w:rPr>
        <w:t xml:space="preserve">7, </w:t>
      </w:r>
      <w:r w:rsidR="009C61AC">
        <w:rPr>
          <w:b w:val="0"/>
          <w:iCs/>
          <w:sz w:val="22"/>
        </w:rPr>
        <w:t>2025</w:t>
      </w:r>
      <w:r w:rsidR="003006F0">
        <w:rPr>
          <w:b w:val="0"/>
          <w:iCs/>
          <w:sz w:val="22"/>
        </w:rPr>
        <w:t>,</w:t>
      </w:r>
      <w:r w:rsidR="009C61AC">
        <w:rPr>
          <w:b w:val="0"/>
          <w:iCs/>
          <w:sz w:val="22"/>
        </w:rPr>
        <w:t xml:space="preserve"> was slightly lower, at an expanded 61 months. Thus, we can add 44-53 months to both of these dates to project the next time band for this cycle low, which comes to </w:t>
      </w:r>
      <w:r w:rsidR="00851A09">
        <w:rPr>
          <w:b w:val="0"/>
          <w:iCs/>
          <w:sz w:val="22"/>
        </w:rPr>
        <w:t>April 2028-January 2029</w:t>
      </w:r>
      <w:r w:rsidR="009C61AC">
        <w:rPr>
          <w:b w:val="0"/>
          <w:iCs/>
          <w:sz w:val="22"/>
        </w:rPr>
        <w:t xml:space="preserve">, or </w:t>
      </w:r>
      <w:r w:rsidR="00851A09">
        <w:rPr>
          <w:b w:val="0"/>
          <w:iCs/>
          <w:sz w:val="22"/>
        </w:rPr>
        <w:t>December 2028-September 2029.</w:t>
      </w:r>
      <w:r w:rsidR="009C61AC">
        <w:rPr>
          <w:b w:val="0"/>
          <w:iCs/>
          <w:sz w:val="22"/>
        </w:rPr>
        <w:t xml:space="preserve"> It is interesting because both counts overlap </w:t>
      </w:r>
      <w:r w:rsidR="00851A09" w:rsidRPr="00851A09">
        <w:rPr>
          <w:bCs/>
          <w:iCs/>
          <w:sz w:val="22"/>
        </w:rPr>
        <w:t>December 2028-</w:t>
      </w:r>
      <w:r w:rsidR="009C61AC" w:rsidRPr="00851A09">
        <w:rPr>
          <w:bCs/>
          <w:iCs/>
          <w:sz w:val="22"/>
        </w:rPr>
        <w:t>January 202</w:t>
      </w:r>
      <w:r w:rsidR="00851A09" w:rsidRPr="00851A09">
        <w:rPr>
          <w:bCs/>
          <w:iCs/>
          <w:sz w:val="22"/>
        </w:rPr>
        <w:t>9</w:t>
      </w:r>
      <w:r w:rsidR="009C61AC">
        <w:rPr>
          <w:b w:val="0"/>
          <w:iCs/>
          <w:sz w:val="22"/>
        </w:rPr>
        <w:t>.</w:t>
      </w:r>
    </w:p>
    <w:p w14:paraId="5E8EBCBB" w14:textId="77777777" w:rsidR="00851A09" w:rsidRDefault="00851A09" w:rsidP="009C61AC">
      <w:pPr>
        <w:pStyle w:val="BodyText"/>
        <w:jc w:val="both"/>
        <w:rPr>
          <w:b w:val="0"/>
          <w:iCs/>
          <w:sz w:val="22"/>
        </w:rPr>
      </w:pPr>
    </w:p>
    <w:p w14:paraId="607EB9C0" w14:textId="6F270E18" w:rsidR="000D22F9" w:rsidRDefault="00851A09" w:rsidP="00B113EB">
      <w:pPr>
        <w:pStyle w:val="BodyText"/>
        <w:ind w:firstLine="432"/>
        <w:jc w:val="both"/>
        <w:rPr>
          <w:b w:val="0"/>
          <w:iCs/>
          <w:sz w:val="22"/>
        </w:rPr>
      </w:pPr>
      <w:r>
        <w:rPr>
          <w:b w:val="0"/>
          <w:iCs/>
          <w:sz w:val="22"/>
        </w:rPr>
        <w:t>A</w:t>
      </w:r>
      <w:r w:rsidR="009C61AC">
        <w:rPr>
          <w:b w:val="0"/>
          <w:iCs/>
          <w:sz w:val="22"/>
        </w:rPr>
        <w:t>s one will notice</w:t>
      </w:r>
      <w:r>
        <w:rPr>
          <w:b w:val="0"/>
          <w:iCs/>
          <w:sz w:val="22"/>
        </w:rPr>
        <w:t xml:space="preserve"> on the monthly chart, all instances of the 49-month cycle witnessed the Nikkei touching or falling below the 57-month moving average (half the length of 9.5 years), if we use the low of April 7, 2025, instead of the low of August 2024. Normally this would support the idea that the next low will be January-October 2027. However, we must keep in mind that if a cycle expands, as it would have in the April 2025 instance, the next cycle could very well contract (less than 44 months), which means it could bottom even before April 2028. This </w:t>
      </w:r>
      <w:r w:rsidR="003006F0">
        <w:rPr>
          <w:b w:val="0"/>
          <w:iCs/>
          <w:sz w:val="22"/>
        </w:rPr>
        <w:t>illustrates</w:t>
      </w:r>
      <w:r w:rsidR="00DB3A71">
        <w:rPr>
          <w:b w:val="0"/>
          <w:iCs/>
          <w:sz w:val="22"/>
        </w:rPr>
        <w:t xml:space="preserve"> one of the basic</w:t>
      </w:r>
      <w:r w:rsidR="00B113EB">
        <w:rPr>
          <w:b w:val="0"/>
          <w:iCs/>
          <w:sz w:val="22"/>
        </w:rPr>
        <w:t xml:space="preserve"> rule</w:t>
      </w:r>
      <w:r w:rsidR="00DB3A71">
        <w:rPr>
          <w:b w:val="0"/>
          <w:iCs/>
          <w:sz w:val="22"/>
        </w:rPr>
        <w:t>s</w:t>
      </w:r>
      <w:r w:rsidR="00B113EB">
        <w:rPr>
          <w:b w:val="0"/>
          <w:iCs/>
          <w:sz w:val="22"/>
        </w:rPr>
        <w:t xml:space="preserve"> of </w:t>
      </w:r>
      <w:r w:rsidR="003006F0">
        <w:rPr>
          <w:b w:val="0"/>
          <w:iCs/>
          <w:sz w:val="22"/>
        </w:rPr>
        <w:t xml:space="preserve">the </w:t>
      </w:r>
      <w:r w:rsidR="00B113EB">
        <w:rPr>
          <w:b w:val="0"/>
          <w:iCs/>
          <w:sz w:val="22"/>
        </w:rPr>
        <w:t xml:space="preserve">MMA </w:t>
      </w:r>
      <w:r w:rsidR="003006F0">
        <w:rPr>
          <w:b w:val="0"/>
          <w:iCs/>
          <w:sz w:val="22"/>
        </w:rPr>
        <w:t xml:space="preserve">method of analysis </w:t>
      </w:r>
      <w:r w:rsidR="00B113EB">
        <w:rPr>
          <w:b w:val="0"/>
          <w:iCs/>
          <w:sz w:val="22"/>
        </w:rPr>
        <w:t xml:space="preserve">whereby it becomes </w:t>
      </w:r>
      <w:proofErr w:type="gramStart"/>
      <w:r w:rsidR="00B76F38">
        <w:rPr>
          <w:b w:val="0"/>
          <w:iCs/>
          <w:sz w:val="22"/>
        </w:rPr>
        <w:t>very</w:t>
      </w:r>
      <w:r w:rsidR="00B113EB">
        <w:rPr>
          <w:b w:val="0"/>
          <w:iCs/>
          <w:sz w:val="22"/>
        </w:rPr>
        <w:t xml:space="preserve"> challenging</w:t>
      </w:r>
      <w:proofErr w:type="gramEnd"/>
      <w:r w:rsidR="00B113EB">
        <w:rPr>
          <w:b w:val="0"/>
          <w:iCs/>
          <w:sz w:val="22"/>
        </w:rPr>
        <w:t xml:space="preserve"> to identify the bottom of a cycle </w:t>
      </w:r>
      <w:r w:rsidR="00DB3A71">
        <w:rPr>
          <w:b w:val="0"/>
          <w:iCs/>
          <w:sz w:val="22"/>
        </w:rPr>
        <w:t>when</w:t>
      </w:r>
      <w:r w:rsidR="00B113EB">
        <w:rPr>
          <w:b w:val="0"/>
          <w:iCs/>
          <w:sz w:val="22"/>
        </w:rPr>
        <w:t xml:space="preserve"> it </w:t>
      </w:r>
      <w:r w:rsidR="00DB3A71">
        <w:rPr>
          <w:b w:val="0"/>
          <w:iCs/>
          <w:sz w:val="22"/>
        </w:rPr>
        <w:t>corresponds to</w:t>
      </w:r>
      <w:r w:rsidR="00B113EB">
        <w:rPr>
          <w:b w:val="0"/>
          <w:iCs/>
          <w:sz w:val="22"/>
        </w:rPr>
        <w:t xml:space="preserve"> longer</w:t>
      </w:r>
      <w:r w:rsidR="00DB3A71">
        <w:rPr>
          <w:b w:val="0"/>
          <w:iCs/>
          <w:sz w:val="22"/>
        </w:rPr>
        <w:t>-term cycles</w:t>
      </w:r>
      <w:r w:rsidR="00B113EB">
        <w:rPr>
          <w:b w:val="0"/>
          <w:iCs/>
          <w:sz w:val="22"/>
        </w:rPr>
        <w:t xml:space="preserve">. And given that this is also around the time when the 19- and 9.5-year </w:t>
      </w:r>
      <w:r w:rsidR="00DB3A71">
        <w:rPr>
          <w:b w:val="0"/>
          <w:iCs/>
          <w:sz w:val="22"/>
        </w:rPr>
        <w:t xml:space="preserve">longer-term </w:t>
      </w:r>
      <w:r w:rsidR="00B113EB">
        <w:rPr>
          <w:b w:val="0"/>
          <w:iCs/>
          <w:sz w:val="22"/>
        </w:rPr>
        <w:t xml:space="preserve">cycles are due, </w:t>
      </w:r>
      <w:r w:rsidR="003006F0">
        <w:rPr>
          <w:b w:val="0"/>
          <w:iCs/>
          <w:sz w:val="22"/>
        </w:rPr>
        <w:t>investors</w:t>
      </w:r>
      <w:r w:rsidR="00B113EB">
        <w:rPr>
          <w:b w:val="0"/>
          <w:iCs/>
          <w:sz w:val="22"/>
        </w:rPr>
        <w:t xml:space="preserve"> need to be prepared for </w:t>
      </w:r>
      <w:proofErr w:type="gramStart"/>
      <w:r w:rsidR="00B113EB">
        <w:rPr>
          <w:b w:val="0"/>
          <w:iCs/>
          <w:sz w:val="22"/>
        </w:rPr>
        <w:t>some</w:t>
      </w:r>
      <w:proofErr w:type="gramEnd"/>
      <w:r w:rsidR="00B113EB">
        <w:rPr>
          <w:b w:val="0"/>
          <w:iCs/>
          <w:sz w:val="22"/>
        </w:rPr>
        <w:t xml:space="preserve"> very bizarre </w:t>
      </w:r>
      <w:r w:rsidR="003006F0">
        <w:rPr>
          <w:b w:val="0"/>
          <w:iCs/>
          <w:sz w:val="22"/>
        </w:rPr>
        <w:t>market behavior</w:t>
      </w:r>
      <w:r w:rsidR="00B113EB">
        <w:rPr>
          <w:b w:val="0"/>
          <w:iCs/>
          <w:sz w:val="22"/>
        </w:rPr>
        <w:t xml:space="preserve"> to </w:t>
      </w:r>
      <w:r w:rsidR="00B76F38">
        <w:rPr>
          <w:b w:val="0"/>
          <w:iCs/>
          <w:sz w:val="22"/>
        </w:rPr>
        <w:t>unfold</w:t>
      </w:r>
      <w:r w:rsidR="00B113EB">
        <w:rPr>
          <w:b w:val="0"/>
          <w:iCs/>
          <w:sz w:val="22"/>
        </w:rPr>
        <w:t xml:space="preserve"> when that long-term cycle unfolds. The strategy will be to start a long-term buying or investment program once the Nikkei (and other world indices) falls at least 37-63% from its all-time high at any time between 2026 and 2030. </w:t>
      </w:r>
      <w:proofErr w:type="gramStart"/>
      <w:r w:rsidR="00B113EB" w:rsidRPr="00B113EB">
        <w:rPr>
          <w:b w:val="0"/>
          <w:i/>
          <w:sz w:val="22"/>
        </w:rPr>
        <w:t>Don’t</w:t>
      </w:r>
      <w:proofErr w:type="gramEnd"/>
      <w:r w:rsidR="00B113EB" w:rsidRPr="00B113EB">
        <w:rPr>
          <w:b w:val="0"/>
          <w:i/>
          <w:sz w:val="22"/>
        </w:rPr>
        <w:t xml:space="preserve"> wait for the shorter-term cycles to fall on time</w:t>
      </w:r>
      <w:r w:rsidR="003006F0">
        <w:rPr>
          <w:b w:val="0"/>
          <w:i/>
          <w:sz w:val="22"/>
        </w:rPr>
        <w:t xml:space="preserve"> to begin.</w:t>
      </w:r>
      <w:r w:rsidR="00B113EB" w:rsidRPr="00B113EB">
        <w:rPr>
          <w:b w:val="0"/>
          <w:i/>
          <w:sz w:val="22"/>
        </w:rPr>
        <w:t xml:space="preserve"> Focus on the greater 19-year cycle time band, for that longer-term cycle will </w:t>
      </w:r>
      <w:proofErr w:type="gramStart"/>
      <w:r w:rsidR="00B113EB" w:rsidRPr="00B113EB">
        <w:rPr>
          <w:b w:val="0"/>
          <w:i/>
          <w:sz w:val="22"/>
        </w:rPr>
        <w:t>likely be</w:t>
      </w:r>
      <w:proofErr w:type="gramEnd"/>
      <w:r w:rsidR="00B113EB" w:rsidRPr="00B113EB">
        <w:rPr>
          <w:b w:val="0"/>
          <w:i/>
          <w:sz w:val="22"/>
        </w:rPr>
        <w:t xml:space="preserve"> on time</w:t>
      </w:r>
      <w:r w:rsidR="003006F0">
        <w:rPr>
          <w:b w:val="0"/>
          <w:i/>
          <w:sz w:val="22"/>
        </w:rPr>
        <w:t xml:space="preserve">. But know that </w:t>
      </w:r>
      <w:r w:rsidR="00B113EB" w:rsidRPr="00B113EB">
        <w:rPr>
          <w:b w:val="0"/>
          <w:i/>
          <w:sz w:val="22"/>
        </w:rPr>
        <w:t xml:space="preserve">it can (and </w:t>
      </w:r>
      <w:proofErr w:type="gramStart"/>
      <w:r w:rsidR="00B113EB" w:rsidRPr="00B113EB">
        <w:rPr>
          <w:b w:val="0"/>
          <w:i/>
          <w:sz w:val="22"/>
        </w:rPr>
        <w:t>probably will</w:t>
      </w:r>
      <w:proofErr w:type="gramEnd"/>
      <w:r w:rsidR="00B113EB" w:rsidRPr="00B113EB">
        <w:rPr>
          <w:b w:val="0"/>
          <w:i/>
          <w:sz w:val="22"/>
        </w:rPr>
        <w:t>) distort the smaller phases within it.</w:t>
      </w:r>
      <w:r w:rsidR="002F688F">
        <w:rPr>
          <w:b w:val="0"/>
          <w:iCs/>
          <w:sz w:val="22"/>
        </w:rPr>
        <w:t xml:space="preserve"> </w:t>
      </w:r>
    </w:p>
    <w:p w14:paraId="60425532" w14:textId="77777777" w:rsidR="003670EF" w:rsidRDefault="003670EF" w:rsidP="009B2ABA">
      <w:pPr>
        <w:pStyle w:val="BodyText"/>
        <w:jc w:val="both"/>
        <w:rPr>
          <w:b w:val="0"/>
          <w:iCs/>
          <w:sz w:val="22"/>
        </w:rPr>
      </w:pPr>
    </w:p>
    <w:p w14:paraId="4E755927" w14:textId="54AA2108" w:rsidR="00C272B5" w:rsidRDefault="00F27334" w:rsidP="00DB6C81">
      <w:pPr>
        <w:pStyle w:val="BodyText"/>
        <w:jc w:val="both"/>
        <w:rPr>
          <w:bCs/>
          <w:iCs/>
          <w:sz w:val="22"/>
        </w:rPr>
      </w:pPr>
      <w:r>
        <w:rPr>
          <w:bCs/>
          <w:iCs/>
          <w:sz w:val="22"/>
        </w:rPr>
        <w:t>THE 2</w:t>
      </w:r>
      <w:r w:rsidR="00DB3A71">
        <w:rPr>
          <w:bCs/>
          <w:iCs/>
          <w:sz w:val="22"/>
        </w:rPr>
        <w:t>3</w:t>
      </w:r>
      <w:r>
        <w:rPr>
          <w:bCs/>
          <w:iCs/>
          <w:sz w:val="22"/>
        </w:rPr>
        <w:t xml:space="preserve">-MONTH </w:t>
      </w:r>
      <w:r w:rsidR="00B113EB">
        <w:rPr>
          <w:bCs/>
          <w:iCs/>
          <w:sz w:val="22"/>
        </w:rPr>
        <w:t xml:space="preserve">INTERMEDIATE-TERM </w:t>
      </w:r>
      <w:r>
        <w:rPr>
          <w:bCs/>
          <w:iCs/>
          <w:sz w:val="22"/>
        </w:rPr>
        <w:t>CYCLE</w:t>
      </w:r>
    </w:p>
    <w:p w14:paraId="7836BF3B" w14:textId="67531FA9" w:rsidR="00F27334" w:rsidRDefault="00F27334" w:rsidP="00DB6C81">
      <w:pPr>
        <w:pStyle w:val="BodyText"/>
        <w:jc w:val="both"/>
        <w:rPr>
          <w:bCs/>
          <w:iCs/>
          <w:sz w:val="22"/>
        </w:rPr>
      </w:pPr>
    </w:p>
    <w:p w14:paraId="48B32B7F" w14:textId="11795F73" w:rsidR="00115DB8" w:rsidRDefault="00F27334" w:rsidP="00DB6C81">
      <w:pPr>
        <w:pStyle w:val="BodyText"/>
        <w:jc w:val="both"/>
        <w:rPr>
          <w:b w:val="0"/>
          <w:iCs/>
          <w:sz w:val="22"/>
        </w:rPr>
      </w:pPr>
      <w:r>
        <w:rPr>
          <w:b w:val="0"/>
          <w:iCs/>
          <w:sz w:val="22"/>
        </w:rPr>
        <w:tab/>
        <w:t xml:space="preserve">The </w:t>
      </w:r>
      <w:r w:rsidR="00866ADA">
        <w:rPr>
          <w:b w:val="0"/>
          <w:iCs/>
          <w:sz w:val="22"/>
        </w:rPr>
        <w:t>49-month cycle</w:t>
      </w:r>
      <w:r>
        <w:rPr>
          <w:b w:val="0"/>
          <w:iCs/>
          <w:sz w:val="22"/>
        </w:rPr>
        <w:t xml:space="preserve"> </w:t>
      </w:r>
      <w:r w:rsidR="001762CD">
        <w:rPr>
          <w:b w:val="0"/>
          <w:iCs/>
          <w:sz w:val="22"/>
        </w:rPr>
        <w:t>has</w:t>
      </w:r>
      <w:r w:rsidR="00DE61BC">
        <w:rPr>
          <w:b w:val="0"/>
          <w:iCs/>
          <w:sz w:val="22"/>
        </w:rPr>
        <w:t xml:space="preserve"> also </w:t>
      </w:r>
      <w:r w:rsidR="001762CD">
        <w:rPr>
          <w:b w:val="0"/>
          <w:iCs/>
          <w:sz w:val="22"/>
        </w:rPr>
        <w:t xml:space="preserve">been </w:t>
      </w:r>
      <w:r>
        <w:rPr>
          <w:b w:val="0"/>
          <w:iCs/>
          <w:sz w:val="22"/>
        </w:rPr>
        <w:t>sub-divid</w:t>
      </w:r>
      <w:r w:rsidR="00DE61BC">
        <w:rPr>
          <w:b w:val="0"/>
          <w:iCs/>
          <w:sz w:val="22"/>
        </w:rPr>
        <w:t>ing</w:t>
      </w:r>
      <w:r>
        <w:rPr>
          <w:b w:val="0"/>
          <w:iCs/>
          <w:sz w:val="22"/>
        </w:rPr>
        <w:t xml:space="preserve"> into </w:t>
      </w:r>
      <w:r w:rsidR="00DE61BC">
        <w:rPr>
          <w:b w:val="0"/>
          <w:iCs/>
          <w:sz w:val="22"/>
        </w:rPr>
        <w:t xml:space="preserve">two </w:t>
      </w:r>
      <w:r w:rsidR="00115DB8">
        <w:rPr>
          <w:b w:val="0"/>
          <w:iCs/>
          <w:sz w:val="22"/>
        </w:rPr>
        <w:t>2</w:t>
      </w:r>
      <w:r w:rsidR="00866ADA">
        <w:rPr>
          <w:b w:val="0"/>
          <w:iCs/>
          <w:sz w:val="22"/>
        </w:rPr>
        <w:t>3</w:t>
      </w:r>
      <w:r w:rsidR="00115DB8">
        <w:rPr>
          <w:b w:val="0"/>
          <w:iCs/>
          <w:sz w:val="22"/>
        </w:rPr>
        <w:t xml:space="preserve">-month </w:t>
      </w:r>
      <w:r w:rsidR="00DE61BC">
        <w:rPr>
          <w:b w:val="0"/>
          <w:iCs/>
          <w:sz w:val="22"/>
        </w:rPr>
        <w:t>phases</w:t>
      </w:r>
      <w:r w:rsidR="001762CD">
        <w:rPr>
          <w:b w:val="0"/>
          <w:iCs/>
          <w:sz w:val="22"/>
        </w:rPr>
        <w:t xml:space="preserve">, although they are not as clear </w:t>
      </w:r>
      <w:r w:rsidR="00115DB8">
        <w:rPr>
          <w:b w:val="0"/>
          <w:iCs/>
          <w:sz w:val="22"/>
        </w:rPr>
        <w:t xml:space="preserve">and consistent </w:t>
      </w:r>
      <w:r w:rsidR="001762CD">
        <w:rPr>
          <w:b w:val="0"/>
          <w:iCs/>
          <w:sz w:val="22"/>
        </w:rPr>
        <w:t xml:space="preserve">as the </w:t>
      </w:r>
      <w:r w:rsidR="00866ADA">
        <w:rPr>
          <w:b w:val="0"/>
          <w:iCs/>
          <w:sz w:val="22"/>
        </w:rPr>
        <w:t>49-month</w:t>
      </w:r>
      <w:r w:rsidR="001762CD">
        <w:rPr>
          <w:b w:val="0"/>
          <w:iCs/>
          <w:sz w:val="22"/>
        </w:rPr>
        <w:t xml:space="preserve"> and longer ones. </w:t>
      </w:r>
      <w:r w:rsidR="00866ADA">
        <w:rPr>
          <w:b w:val="0"/>
          <w:iCs/>
          <w:sz w:val="22"/>
        </w:rPr>
        <w:t xml:space="preserve">This may be due to the fact that sometimes the 9.5-year cycle sub-divides into three phases of 3-year cycles instead of two 49-month </w:t>
      </w:r>
      <w:r w:rsidR="003006F0">
        <w:rPr>
          <w:b w:val="0"/>
          <w:iCs/>
          <w:sz w:val="22"/>
        </w:rPr>
        <w:t>phases</w:t>
      </w:r>
      <w:r w:rsidR="00866ADA">
        <w:rPr>
          <w:b w:val="0"/>
          <w:iCs/>
          <w:sz w:val="22"/>
        </w:rPr>
        <w:t>.</w:t>
      </w:r>
    </w:p>
    <w:p w14:paraId="22F778B7" w14:textId="77777777" w:rsidR="00115DB8" w:rsidRDefault="00115DB8" w:rsidP="00DB6C81">
      <w:pPr>
        <w:pStyle w:val="BodyText"/>
        <w:jc w:val="both"/>
        <w:rPr>
          <w:b w:val="0"/>
          <w:iCs/>
          <w:sz w:val="22"/>
        </w:rPr>
      </w:pPr>
    </w:p>
    <w:p w14:paraId="048DBF0E" w14:textId="784F8B93" w:rsidR="00866ADA" w:rsidRDefault="00DE61BC" w:rsidP="00115DB8">
      <w:pPr>
        <w:pStyle w:val="BodyText"/>
        <w:ind w:firstLine="432"/>
        <w:jc w:val="both"/>
        <w:rPr>
          <w:b w:val="0"/>
          <w:iCs/>
          <w:sz w:val="22"/>
        </w:rPr>
      </w:pPr>
      <w:r>
        <w:rPr>
          <w:b w:val="0"/>
          <w:iCs/>
          <w:sz w:val="22"/>
        </w:rPr>
        <w:t xml:space="preserve">Measured from the start of the </w:t>
      </w:r>
      <w:r w:rsidR="00866ADA">
        <w:rPr>
          <w:b w:val="0"/>
          <w:iCs/>
          <w:sz w:val="22"/>
        </w:rPr>
        <w:t xml:space="preserve">9.5-year cycle in </w:t>
      </w:r>
      <w:r>
        <w:rPr>
          <w:b w:val="0"/>
          <w:iCs/>
          <w:sz w:val="22"/>
        </w:rPr>
        <w:t xml:space="preserve">March 2020, </w:t>
      </w:r>
      <w:r w:rsidR="001762CD">
        <w:rPr>
          <w:b w:val="0"/>
          <w:iCs/>
          <w:sz w:val="22"/>
        </w:rPr>
        <w:t>a</w:t>
      </w:r>
      <w:r>
        <w:rPr>
          <w:b w:val="0"/>
          <w:iCs/>
          <w:sz w:val="22"/>
        </w:rPr>
        <w:t xml:space="preserve"> 2</w:t>
      </w:r>
      <w:r w:rsidR="00866ADA">
        <w:rPr>
          <w:b w:val="0"/>
          <w:iCs/>
          <w:sz w:val="22"/>
        </w:rPr>
        <w:t>3</w:t>
      </w:r>
      <w:r>
        <w:rPr>
          <w:b w:val="0"/>
          <w:iCs/>
          <w:sz w:val="22"/>
        </w:rPr>
        <w:t xml:space="preserve">-month half-cycle occurred on March 9, 2022, shortly after the Russian invasion of Ukraine. </w:t>
      </w:r>
      <w:r w:rsidR="001762CD">
        <w:rPr>
          <w:b w:val="0"/>
          <w:iCs/>
          <w:sz w:val="22"/>
        </w:rPr>
        <w:t xml:space="preserve">That was </w:t>
      </w:r>
      <w:r>
        <w:rPr>
          <w:b w:val="0"/>
          <w:iCs/>
          <w:sz w:val="22"/>
        </w:rPr>
        <w:t xml:space="preserve">a decline of </w:t>
      </w:r>
      <w:proofErr w:type="gramStart"/>
      <w:r>
        <w:rPr>
          <w:b w:val="0"/>
          <w:iCs/>
          <w:sz w:val="22"/>
        </w:rPr>
        <w:t>nearly 20%</w:t>
      </w:r>
      <w:proofErr w:type="gramEnd"/>
      <w:r>
        <w:rPr>
          <w:b w:val="0"/>
          <w:iCs/>
          <w:sz w:val="22"/>
        </w:rPr>
        <w:t xml:space="preserve">. </w:t>
      </w:r>
    </w:p>
    <w:p w14:paraId="5E62DE9A" w14:textId="77777777" w:rsidR="00866ADA" w:rsidRDefault="00866ADA" w:rsidP="00115DB8">
      <w:pPr>
        <w:pStyle w:val="BodyText"/>
        <w:ind w:firstLine="432"/>
        <w:jc w:val="both"/>
        <w:rPr>
          <w:b w:val="0"/>
          <w:iCs/>
          <w:sz w:val="22"/>
        </w:rPr>
      </w:pPr>
    </w:p>
    <w:p w14:paraId="31095F06" w14:textId="475BD9E1" w:rsidR="00DE61BC" w:rsidRDefault="00B113EB" w:rsidP="00115DB8">
      <w:pPr>
        <w:pStyle w:val="BodyText"/>
        <w:ind w:firstLine="432"/>
        <w:jc w:val="both"/>
        <w:rPr>
          <w:b w:val="0"/>
          <w:iCs/>
          <w:sz w:val="22"/>
        </w:rPr>
      </w:pPr>
      <w:r>
        <w:rPr>
          <w:b w:val="0"/>
          <w:iCs/>
          <w:sz w:val="22"/>
        </w:rPr>
        <w:t xml:space="preserve">If we </w:t>
      </w:r>
      <w:r w:rsidR="006833CC">
        <w:rPr>
          <w:b w:val="0"/>
          <w:iCs/>
          <w:sz w:val="22"/>
        </w:rPr>
        <w:t xml:space="preserve">go back and </w:t>
      </w:r>
      <w:r>
        <w:rPr>
          <w:b w:val="0"/>
          <w:iCs/>
          <w:sz w:val="22"/>
        </w:rPr>
        <w:t xml:space="preserve">start with the low of </w:t>
      </w:r>
      <w:r w:rsidR="00866ADA">
        <w:rPr>
          <w:b w:val="0"/>
          <w:iCs/>
          <w:sz w:val="22"/>
        </w:rPr>
        <w:t>October</w:t>
      </w:r>
      <w:r>
        <w:rPr>
          <w:b w:val="0"/>
          <w:iCs/>
          <w:sz w:val="22"/>
        </w:rPr>
        <w:t xml:space="preserve"> 2008, we will see that this cycle occurred </w:t>
      </w:r>
      <w:r w:rsidR="00DB3A71">
        <w:rPr>
          <w:b w:val="0"/>
          <w:iCs/>
          <w:sz w:val="22"/>
        </w:rPr>
        <w:t>eight consecutive times through March 2022 with a range of 21-25 months</w:t>
      </w:r>
      <w:r w:rsidR="00866ADA">
        <w:rPr>
          <w:b w:val="0"/>
          <w:iCs/>
          <w:sz w:val="22"/>
        </w:rPr>
        <w:t>. However, it then failed to happen in the normal range, which would have been December 2023-March 2024. Instead</w:t>
      </w:r>
      <w:r w:rsidR="005400D6">
        <w:rPr>
          <w:b w:val="0"/>
          <w:iCs/>
          <w:sz w:val="22"/>
        </w:rPr>
        <w:t>,</w:t>
      </w:r>
      <w:r w:rsidR="00866ADA">
        <w:rPr>
          <w:b w:val="0"/>
          <w:iCs/>
          <w:sz w:val="22"/>
        </w:rPr>
        <w:t xml:space="preserve"> it double</w:t>
      </w:r>
      <w:r w:rsidR="005400D6">
        <w:rPr>
          <w:b w:val="0"/>
          <w:iCs/>
          <w:sz w:val="22"/>
        </w:rPr>
        <w:t>-</w:t>
      </w:r>
      <w:r w:rsidR="00866ADA">
        <w:rPr>
          <w:b w:val="0"/>
          <w:iCs/>
          <w:sz w:val="22"/>
        </w:rPr>
        <w:t xml:space="preserve">bottomed in August 2024 (29 months) and April 2025 (37 months). </w:t>
      </w:r>
      <w:r w:rsidR="00D237FC">
        <w:rPr>
          <w:b w:val="0"/>
          <w:iCs/>
          <w:sz w:val="22"/>
        </w:rPr>
        <w:t xml:space="preserve">In either case, it was an expanded cycle, </w:t>
      </w:r>
      <w:r w:rsidR="00866ADA">
        <w:rPr>
          <w:b w:val="0"/>
          <w:iCs/>
          <w:sz w:val="22"/>
        </w:rPr>
        <w:t>suggest</w:t>
      </w:r>
      <w:r w:rsidR="00D237FC">
        <w:rPr>
          <w:b w:val="0"/>
          <w:iCs/>
          <w:sz w:val="22"/>
        </w:rPr>
        <w:t>ing</w:t>
      </w:r>
      <w:r w:rsidR="00866ADA">
        <w:rPr>
          <w:b w:val="0"/>
          <w:iCs/>
          <w:sz w:val="22"/>
        </w:rPr>
        <w:t xml:space="preserve"> that the cycles following the </w:t>
      </w:r>
      <w:r w:rsidR="006833CC">
        <w:rPr>
          <w:b w:val="0"/>
          <w:iCs/>
          <w:sz w:val="22"/>
        </w:rPr>
        <w:t>P</w:t>
      </w:r>
      <w:r w:rsidR="00866ADA">
        <w:rPr>
          <w:b w:val="0"/>
          <w:iCs/>
          <w:sz w:val="22"/>
        </w:rPr>
        <w:t xml:space="preserve">andemic low of March 2020 (9.5-year) may be switching from a 2-phase pattern (49-month cycles) to a three-phase pattern closer to 3-years each (say with a range of 30-42 months). </w:t>
      </w:r>
      <w:proofErr w:type="gramStart"/>
      <w:r w:rsidR="00730052">
        <w:rPr>
          <w:b w:val="0"/>
          <w:iCs/>
          <w:sz w:val="22"/>
        </w:rPr>
        <w:t>It’s</w:t>
      </w:r>
      <w:proofErr w:type="gramEnd"/>
      <w:r w:rsidR="00730052">
        <w:rPr>
          <w:b w:val="0"/>
          <w:iCs/>
          <w:sz w:val="22"/>
        </w:rPr>
        <w:t xml:space="preserve"> too early to confirm such a cycle, so</w:t>
      </w:r>
      <w:r w:rsidR="00D237FC">
        <w:rPr>
          <w:b w:val="0"/>
          <w:iCs/>
          <w:sz w:val="22"/>
        </w:rPr>
        <w:t xml:space="preserve"> </w:t>
      </w:r>
      <w:r w:rsidR="00730052">
        <w:rPr>
          <w:b w:val="0"/>
          <w:iCs/>
          <w:sz w:val="22"/>
        </w:rPr>
        <w:t xml:space="preserve">we will stay with those that have </w:t>
      </w:r>
      <w:proofErr w:type="gramStart"/>
      <w:r w:rsidR="00730052">
        <w:rPr>
          <w:b w:val="0"/>
          <w:iCs/>
          <w:sz w:val="22"/>
        </w:rPr>
        <w:t>been identified</w:t>
      </w:r>
      <w:proofErr w:type="gramEnd"/>
      <w:r w:rsidR="00730052">
        <w:rPr>
          <w:b w:val="0"/>
          <w:iCs/>
          <w:sz w:val="22"/>
        </w:rPr>
        <w:t xml:space="preserve"> in the table earlier in this chapter, and assume the April 7, 2025, low was a distortion. And we will keep in mind that the more distortions we see, the closer </w:t>
      </w:r>
      <w:r w:rsidR="006833CC">
        <w:rPr>
          <w:b w:val="0"/>
          <w:iCs/>
          <w:sz w:val="22"/>
        </w:rPr>
        <w:t>the Nikkei is</w:t>
      </w:r>
      <w:r w:rsidR="00730052">
        <w:rPr>
          <w:b w:val="0"/>
          <w:iCs/>
          <w:sz w:val="22"/>
        </w:rPr>
        <w:t xml:space="preserve"> to the explosion of the greater 9.5- and 19-year cycles.</w:t>
      </w:r>
    </w:p>
    <w:p w14:paraId="2B9725CC" w14:textId="77777777" w:rsidR="00D237FC" w:rsidRDefault="00D237FC" w:rsidP="00115DB8">
      <w:pPr>
        <w:pStyle w:val="BodyText"/>
        <w:ind w:firstLine="432"/>
        <w:jc w:val="both"/>
        <w:rPr>
          <w:b w:val="0"/>
          <w:iCs/>
          <w:sz w:val="22"/>
        </w:rPr>
      </w:pPr>
    </w:p>
    <w:p w14:paraId="554F3989" w14:textId="013666B9" w:rsidR="00D237FC" w:rsidRDefault="00D237FC" w:rsidP="00115DB8">
      <w:pPr>
        <w:pStyle w:val="BodyText"/>
        <w:ind w:firstLine="432"/>
        <w:jc w:val="both"/>
        <w:rPr>
          <w:b w:val="0"/>
          <w:iCs/>
          <w:sz w:val="22"/>
        </w:rPr>
      </w:pPr>
      <w:r>
        <w:rPr>
          <w:b w:val="0"/>
          <w:iCs/>
          <w:sz w:val="22"/>
        </w:rPr>
        <w:t>For purposes of this labeling, the next 23-month cycle as measured from the low of August 5, 2024</w:t>
      </w:r>
      <w:r w:rsidR="002C48AE">
        <w:rPr>
          <w:b w:val="0"/>
          <w:iCs/>
          <w:sz w:val="22"/>
        </w:rPr>
        <w:t>,</w:t>
      </w:r>
      <w:r>
        <w:rPr>
          <w:b w:val="0"/>
          <w:iCs/>
          <w:sz w:val="22"/>
        </w:rPr>
        <w:t xml:space="preserve"> would be due May-September 2026, or if measured from the low of April 7, 2025, it would next be due January-May 2027.</w:t>
      </w:r>
    </w:p>
    <w:p w14:paraId="5720D954" w14:textId="77777777" w:rsidR="00B30A27" w:rsidRDefault="00B30A27" w:rsidP="00B30A27">
      <w:pPr>
        <w:pStyle w:val="BodyText"/>
        <w:jc w:val="both"/>
        <w:rPr>
          <w:b w:val="0"/>
          <w:iCs/>
          <w:sz w:val="22"/>
        </w:rPr>
      </w:pPr>
    </w:p>
    <w:p w14:paraId="4B6D34EB" w14:textId="2B6196A1" w:rsidR="00B30A27" w:rsidRDefault="00B30A27" w:rsidP="00B30A27">
      <w:pPr>
        <w:pStyle w:val="BodyText"/>
        <w:jc w:val="both"/>
        <w:rPr>
          <w:bCs/>
          <w:iCs/>
          <w:sz w:val="22"/>
        </w:rPr>
      </w:pPr>
      <w:r w:rsidRPr="00B30A27">
        <w:rPr>
          <w:bCs/>
          <w:iCs/>
          <w:sz w:val="22"/>
        </w:rPr>
        <w:t>THE 8.5-MONTH CYCLE</w:t>
      </w:r>
    </w:p>
    <w:p w14:paraId="755815DB" w14:textId="77777777" w:rsidR="00B30A27" w:rsidRDefault="00B30A27" w:rsidP="00B30A27">
      <w:pPr>
        <w:pStyle w:val="BodyText"/>
        <w:jc w:val="both"/>
        <w:rPr>
          <w:bCs/>
          <w:iCs/>
          <w:sz w:val="22"/>
        </w:rPr>
      </w:pPr>
    </w:p>
    <w:p w14:paraId="39BF791E" w14:textId="70131ED6" w:rsidR="00C61D31" w:rsidRDefault="00B30A27" w:rsidP="00DB6C81">
      <w:pPr>
        <w:pStyle w:val="BodyText"/>
        <w:jc w:val="both"/>
        <w:rPr>
          <w:b w:val="0"/>
          <w:iCs/>
          <w:sz w:val="22"/>
        </w:rPr>
      </w:pPr>
      <w:r>
        <w:rPr>
          <w:bCs/>
          <w:iCs/>
          <w:sz w:val="22"/>
        </w:rPr>
        <w:tab/>
      </w:r>
      <w:r>
        <w:rPr>
          <w:b w:val="0"/>
          <w:iCs/>
          <w:sz w:val="22"/>
        </w:rPr>
        <w:t xml:space="preserve">The 23-month cycle breaks down into three 8.5-month cycle phases, with a range of 7-10 months. The recent lows of August 5, </w:t>
      </w:r>
      <w:r w:rsidR="00CA31F6">
        <w:rPr>
          <w:b w:val="0"/>
          <w:iCs/>
          <w:sz w:val="22"/>
        </w:rPr>
        <w:t>2024,</w:t>
      </w:r>
      <w:r>
        <w:rPr>
          <w:b w:val="0"/>
          <w:iCs/>
          <w:sz w:val="22"/>
        </w:rPr>
        <w:t xml:space="preserve"> and April 7, 2025 (8 month</w:t>
      </w:r>
      <w:r w:rsidR="00D237FC">
        <w:rPr>
          <w:b w:val="0"/>
          <w:iCs/>
          <w:sz w:val="22"/>
        </w:rPr>
        <w:t>s</w:t>
      </w:r>
      <w:r>
        <w:rPr>
          <w:b w:val="0"/>
          <w:iCs/>
          <w:sz w:val="22"/>
        </w:rPr>
        <w:t xml:space="preserve"> apart) were examples of this cycle. Since the April 7 low was a longer-term cycle, the Nikkei </w:t>
      </w:r>
      <w:r w:rsidR="00D237FC">
        <w:rPr>
          <w:b w:val="0"/>
          <w:iCs/>
          <w:sz w:val="22"/>
        </w:rPr>
        <w:t>either completed its first 8.5-month cycle low on November 9, 2025 (7</w:t>
      </w:r>
      <w:r w:rsidR="00D237FC" w:rsidRPr="00D237FC">
        <w:rPr>
          <w:b w:val="0"/>
          <w:iCs/>
          <w:sz w:val="22"/>
          <w:vertAlign w:val="superscript"/>
        </w:rPr>
        <w:t>th</w:t>
      </w:r>
      <w:r w:rsidR="00D237FC">
        <w:rPr>
          <w:b w:val="0"/>
          <w:iCs/>
          <w:sz w:val="22"/>
        </w:rPr>
        <w:t xml:space="preserve"> month), or it is still forming as of this writing and due by the end of February 2026. Then the </w:t>
      </w:r>
      <w:r w:rsidR="00D237FC">
        <w:rPr>
          <w:b w:val="0"/>
          <w:iCs/>
          <w:sz w:val="22"/>
        </w:rPr>
        <w:lastRenderedPageBreak/>
        <w:t>second of three of these ph</w:t>
      </w:r>
      <w:r w:rsidR="002C48AE">
        <w:rPr>
          <w:b w:val="0"/>
          <w:iCs/>
          <w:sz w:val="22"/>
        </w:rPr>
        <w:t>a</w:t>
      </w:r>
      <w:r w:rsidR="00D237FC">
        <w:rPr>
          <w:b w:val="0"/>
          <w:iCs/>
          <w:sz w:val="22"/>
        </w:rPr>
        <w:t xml:space="preserve">ses will begin </w:t>
      </w:r>
      <w:r w:rsidR="00CA31F6">
        <w:rPr>
          <w:b w:val="0"/>
          <w:iCs/>
          <w:sz w:val="22"/>
        </w:rPr>
        <w:t>and</w:t>
      </w:r>
      <w:r w:rsidR="00D237FC">
        <w:rPr>
          <w:b w:val="0"/>
          <w:iCs/>
          <w:sz w:val="22"/>
        </w:rPr>
        <w:t xml:space="preserve"> will end with the 23-month cycle trough due </w:t>
      </w:r>
      <w:r w:rsidR="004D7594">
        <w:rPr>
          <w:b w:val="0"/>
          <w:iCs/>
          <w:sz w:val="22"/>
        </w:rPr>
        <w:t xml:space="preserve">January-May 2027. If the correct count began with the low of August 5, 2024, and its second phase ended November 19, 2025, then this is the third 8.5-month phase and it would be due again </w:t>
      </w:r>
      <w:r w:rsidR="004D7594" w:rsidRPr="004D7594">
        <w:rPr>
          <w:bCs/>
          <w:iCs/>
          <w:sz w:val="22"/>
        </w:rPr>
        <w:t>June-</w:t>
      </w:r>
      <w:r w:rsidR="004D7594">
        <w:rPr>
          <w:bCs/>
          <w:iCs/>
          <w:sz w:val="22"/>
        </w:rPr>
        <w:t>Septem</w:t>
      </w:r>
      <w:r w:rsidR="004D7594" w:rsidRPr="004D7594">
        <w:rPr>
          <w:bCs/>
          <w:iCs/>
          <w:sz w:val="22"/>
        </w:rPr>
        <w:t xml:space="preserve">ber 2026 </w:t>
      </w:r>
      <w:r w:rsidR="004D7594">
        <w:rPr>
          <w:b w:val="0"/>
          <w:iCs/>
          <w:sz w:val="22"/>
        </w:rPr>
        <w:t>with the 23-month cycle trough.</w:t>
      </w:r>
      <w:r w:rsidR="00692B6C">
        <w:rPr>
          <w:b w:val="0"/>
          <w:iCs/>
          <w:sz w:val="22"/>
        </w:rPr>
        <w:t xml:space="preserve"> Once again, these shorter-term cycles are showing unusual behavior, suggesting that a longer-term cycle is readying to </w:t>
      </w:r>
      <w:r w:rsidR="006833CC">
        <w:rPr>
          <w:b w:val="0"/>
          <w:iCs/>
          <w:sz w:val="22"/>
        </w:rPr>
        <w:t>assert its dominance (bearish)</w:t>
      </w:r>
      <w:r w:rsidR="00692B6C">
        <w:rPr>
          <w:b w:val="0"/>
          <w:iCs/>
          <w:sz w:val="22"/>
        </w:rPr>
        <w:t>.</w:t>
      </w:r>
    </w:p>
    <w:p w14:paraId="04B38439" w14:textId="77777777" w:rsidR="00C41149" w:rsidRDefault="00C41149" w:rsidP="00DB6C81">
      <w:pPr>
        <w:pStyle w:val="BodyText"/>
        <w:jc w:val="both"/>
        <w:rPr>
          <w:b w:val="0"/>
          <w:iCs/>
          <w:sz w:val="22"/>
        </w:rPr>
      </w:pPr>
    </w:p>
    <w:p w14:paraId="4EF0008A" w14:textId="19E8B7FF" w:rsidR="00C41149" w:rsidRDefault="00C41149" w:rsidP="00DB6C81">
      <w:pPr>
        <w:pStyle w:val="BodyText"/>
        <w:jc w:val="both"/>
        <w:rPr>
          <w:b w:val="0"/>
          <w:iCs/>
          <w:sz w:val="22"/>
        </w:rPr>
      </w:pPr>
      <w:r>
        <w:rPr>
          <w:b w:val="0"/>
          <w:iCs/>
          <w:noProof/>
          <w:sz w:val="22"/>
        </w:rPr>
        <w:drawing>
          <wp:inline distT="0" distB="0" distL="0" distR="0" wp14:anchorId="0FE76591" wp14:editId="4F27EAB2">
            <wp:extent cx="5943600" cy="3263900"/>
            <wp:effectExtent l="0" t="0" r="0" b="0"/>
            <wp:docPr id="268565347" name="Picture 3"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5347" name="Picture 3" descr="A graph with numbers and lett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p>
    <w:p w14:paraId="6DF6D141" w14:textId="77777777" w:rsidR="00DE61BC" w:rsidRDefault="00DE61BC" w:rsidP="00DB6C81">
      <w:pPr>
        <w:pStyle w:val="BodyText"/>
        <w:jc w:val="both"/>
        <w:rPr>
          <w:b w:val="0"/>
          <w:iCs/>
          <w:sz w:val="22"/>
        </w:rPr>
      </w:pPr>
    </w:p>
    <w:p w14:paraId="115A08BA" w14:textId="19715FAA" w:rsidR="0035735D" w:rsidRDefault="0035735D" w:rsidP="0035735D">
      <w:pPr>
        <w:pStyle w:val="BodyText"/>
        <w:jc w:val="both"/>
        <w:rPr>
          <w:iCs/>
          <w:sz w:val="22"/>
        </w:rPr>
      </w:pPr>
      <w:r>
        <w:rPr>
          <w:iCs/>
          <w:sz w:val="22"/>
        </w:rPr>
        <w:t>GEOCOSMICS</w:t>
      </w:r>
      <w:r w:rsidR="00603A1D">
        <w:rPr>
          <w:iCs/>
          <w:sz w:val="22"/>
        </w:rPr>
        <w:t xml:space="preserve">: </w:t>
      </w:r>
      <w:r w:rsidR="00603A1D" w:rsidRPr="00692B6C">
        <w:rPr>
          <w:iCs/>
          <w:sz w:val="22"/>
        </w:rPr>
        <w:t xml:space="preserve">SATURN-NEPTUNE AND </w:t>
      </w:r>
      <w:r w:rsidR="006833CC">
        <w:rPr>
          <w:iCs/>
          <w:sz w:val="22"/>
        </w:rPr>
        <w:t>“</w:t>
      </w:r>
      <w:r w:rsidR="00603A1D" w:rsidRPr="00692B6C">
        <w:rPr>
          <w:iCs/>
          <w:sz w:val="22"/>
        </w:rPr>
        <w:t xml:space="preserve">THE </w:t>
      </w:r>
      <w:r w:rsidR="006833CC">
        <w:rPr>
          <w:iCs/>
          <w:sz w:val="22"/>
        </w:rPr>
        <w:t xml:space="preserve">NIKKEI </w:t>
      </w:r>
      <w:r w:rsidR="00603A1D" w:rsidRPr="00692B6C">
        <w:rPr>
          <w:iCs/>
          <w:sz w:val="22"/>
        </w:rPr>
        <w:t>BUBBLE</w:t>
      </w:r>
      <w:r w:rsidR="006833CC">
        <w:rPr>
          <w:iCs/>
          <w:sz w:val="22"/>
        </w:rPr>
        <w:t>”</w:t>
      </w:r>
    </w:p>
    <w:p w14:paraId="75F75BC1" w14:textId="77777777" w:rsidR="00692B6C" w:rsidRDefault="00692B6C" w:rsidP="0035735D">
      <w:pPr>
        <w:pStyle w:val="BodyText"/>
        <w:jc w:val="both"/>
        <w:rPr>
          <w:iCs/>
          <w:sz w:val="22"/>
        </w:rPr>
      </w:pPr>
    </w:p>
    <w:p w14:paraId="516B8196" w14:textId="0FB6A992" w:rsidR="00692B6C" w:rsidRDefault="00692B6C" w:rsidP="0035735D">
      <w:pPr>
        <w:pStyle w:val="BodyText"/>
        <w:jc w:val="both"/>
        <w:rPr>
          <w:b w:val="0"/>
          <w:bCs/>
          <w:iCs/>
          <w:sz w:val="22"/>
        </w:rPr>
      </w:pPr>
      <w:r>
        <w:rPr>
          <w:iCs/>
          <w:sz w:val="22"/>
        </w:rPr>
        <w:tab/>
      </w:r>
      <w:r>
        <w:rPr>
          <w:b w:val="0"/>
          <w:bCs/>
          <w:iCs/>
          <w:sz w:val="22"/>
        </w:rPr>
        <w:t xml:space="preserve">One of </w:t>
      </w:r>
      <w:r w:rsidR="00C41149">
        <w:rPr>
          <w:b w:val="0"/>
          <w:bCs/>
          <w:iCs/>
          <w:sz w:val="22"/>
        </w:rPr>
        <w:t xml:space="preserve">the </w:t>
      </w:r>
      <w:r>
        <w:rPr>
          <w:b w:val="0"/>
          <w:bCs/>
          <w:iCs/>
          <w:sz w:val="22"/>
        </w:rPr>
        <w:t xml:space="preserve">most valuable </w:t>
      </w:r>
      <w:r w:rsidR="006833CC">
        <w:rPr>
          <w:b w:val="0"/>
          <w:bCs/>
          <w:iCs/>
          <w:sz w:val="22"/>
        </w:rPr>
        <w:t xml:space="preserve">methods </w:t>
      </w:r>
      <w:r>
        <w:rPr>
          <w:b w:val="0"/>
          <w:bCs/>
          <w:iCs/>
          <w:sz w:val="22"/>
        </w:rPr>
        <w:t>for narrowing the time band for cycle</w:t>
      </w:r>
      <w:r w:rsidR="006419B2">
        <w:rPr>
          <w:b w:val="0"/>
          <w:bCs/>
          <w:iCs/>
          <w:sz w:val="22"/>
        </w:rPr>
        <w:t xml:space="preserve"> period</w:t>
      </w:r>
      <w:r>
        <w:rPr>
          <w:b w:val="0"/>
          <w:bCs/>
          <w:iCs/>
          <w:sz w:val="22"/>
        </w:rPr>
        <w:t>s</w:t>
      </w:r>
      <w:r w:rsidR="005D7E1F">
        <w:rPr>
          <w:b w:val="0"/>
          <w:bCs/>
          <w:iCs/>
          <w:sz w:val="22"/>
        </w:rPr>
        <w:t xml:space="preserve"> </w:t>
      </w:r>
      <w:r>
        <w:rPr>
          <w:b w:val="0"/>
          <w:bCs/>
          <w:iCs/>
          <w:sz w:val="22"/>
        </w:rPr>
        <w:t>is the field of geocosmic</w:t>
      </w:r>
      <w:r w:rsidR="00C41149">
        <w:rPr>
          <w:b w:val="0"/>
          <w:bCs/>
          <w:iCs/>
          <w:sz w:val="22"/>
        </w:rPr>
        <w:t xml:space="preserve"> </w:t>
      </w:r>
      <w:r>
        <w:rPr>
          <w:b w:val="0"/>
          <w:bCs/>
          <w:iCs/>
          <w:sz w:val="22"/>
        </w:rPr>
        <w:t>s</w:t>
      </w:r>
      <w:r w:rsidR="00C41149">
        <w:rPr>
          <w:b w:val="0"/>
          <w:bCs/>
          <w:iCs/>
          <w:sz w:val="22"/>
        </w:rPr>
        <w:t>tudies</w:t>
      </w:r>
      <w:r>
        <w:rPr>
          <w:b w:val="0"/>
          <w:bCs/>
          <w:iCs/>
          <w:sz w:val="22"/>
        </w:rPr>
        <w:t xml:space="preserve"> or astrology. Th</w:t>
      </w:r>
      <w:r w:rsidR="00C41149">
        <w:rPr>
          <w:b w:val="0"/>
          <w:bCs/>
          <w:iCs/>
          <w:sz w:val="22"/>
        </w:rPr>
        <w:t>e</w:t>
      </w:r>
      <w:r>
        <w:rPr>
          <w:b w:val="0"/>
          <w:bCs/>
          <w:iCs/>
          <w:sz w:val="22"/>
        </w:rPr>
        <w:t xml:space="preserve"> current </w:t>
      </w:r>
      <w:r w:rsidR="005D7E1F">
        <w:rPr>
          <w:b w:val="0"/>
          <w:bCs/>
          <w:iCs/>
          <w:sz w:val="22"/>
        </w:rPr>
        <w:t>Nikkei</w:t>
      </w:r>
      <w:r>
        <w:rPr>
          <w:b w:val="0"/>
          <w:bCs/>
          <w:iCs/>
          <w:sz w:val="22"/>
        </w:rPr>
        <w:t xml:space="preserve"> behavior is no exception. In this study, the planets Uranus and Neptune </w:t>
      </w:r>
      <w:r w:rsidR="005D7E1F">
        <w:rPr>
          <w:b w:val="0"/>
          <w:bCs/>
          <w:iCs/>
          <w:sz w:val="22"/>
        </w:rPr>
        <w:t xml:space="preserve">relate to </w:t>
      </w:r>
      <w:r>
        <w:rPr>
          <w:b w:val="0"/>
          <w:bCs/>
          <w:iCs/>
          <w:sz w:val="22"/>
        </w:rPr>
        <w:t xml:space="preserve">explosive price moves and bubbles. Uranus can be parabolic price activity, and Neptune can be the presence of a bubble where </w:t>
      </w:r>
      <w:proofErr w:type="gramStart"/>
      <w:r>
        <w:rPr>
          <w:b w:val="0"/>
          <w:bCs/>
          <w:iCs/>
          <w:sz w:val="22"/>
        </w:rPr>
        <w:t>it seems the rally</w:t>
      </w:r>
      <w:proofErr w:type="gramEnd"/>
      <w:r>
        <w:rPr>
          <w:b w:val="0"/>
          <w:bCs/>
          <w:iCs/>
          <w:sz w:val="22"/>
        </w:rPr>
        <w:t xml:space="preserve"> </w:t>
      </w:r>
      <w:r w:rsidR="00C41149">
        <w:rPr>
          <w:b w:val="0"/>
          <w:bCs/>
          <w:iCs/>
          <w:sz w:val="22"/>
        </w:rPr>
        <w:t xml:space="preserve">will never </w:t>
      </w:r>
      <w:r>
        <w:rPr>
          <w:b w:val="0"/>
          <w:bCs/>
          <w:iCs/>
          <w:sz w:val="22"/>
        </w:rPr>
        <w:t>end.</w:t>
      </w:r>
    </w:p>
    <w:p w14:paraId="3AABA731" w14:textId="77777777" w:rsidR="00692B6C" w:rsidRDefault="00692B6C" w:rsidP="0035735D">
      <w:pPr>
        <w:pStyle w:val="BodyText"/>
        <w:jc w:val="both"/>
        <w:rPr>
          <w:b w:val="0"/>
          <w:bCs/>
          <w:iCs/>
          <w:sz w:val="22"/>
        </w:rPr>
      </w:pPr>
    </w:p>
    <w:p w14:paraId="5661DF46" w14:textId="3DC658A0" w:rsidR="00692B6C" w:rsidRDefault="00692B6C" w:rsidP="0035735D">
      <w:pPr>
        <w:pStyle w:val="BodyText"/>
        <w:jc w:val="both"/>
        <w:rPr>
          <w:b w:val="0"/>
          <w:bCs/>
          <w:iCs/>
          <w:sz w:val="22"/>
        </w:rPr>
      </w:pPr>
      <w:r>
        <w:rPr>
          <w:b w:val="0"/>
          <w:bCs/>
          <w:iCs/>
          <w:sz w:val="22"/>
        </w:rPr>
        <w:tab/>
        <w:t>Of particular interest is the 36-year planetary pair cycle of Saturn and Neptune. These two planets are currently in their conjunction aspect</w:t>
      </w:r>
      <w:r w:rsidR="00C41149">
        <w:rPr>
          <w:b w:val="0"/>
          <w:bCs/>
          <w:iCs/>
          <w:sz w:val="22"/>
        </w:rPr>
        <w:t>,</w:t>
      </w:r>
      <w:r>
        <w:rPr>
          <w:b w:val="0"/>
          <w:bCs/>
          <w:iCs/>
          <w:sz w:val="22"/>
        </w:rPr>
        <w:t xml:space="preserve"> </w:t>
      </w:r>
      <w:r w:rsidR="001317A9">
        <w:rPr>
          <w:b w:val="0"/>
          <w:bCs/>
          <w:iCs/>
          <w:sz w:val="22"/>
        </w:rPr>
        <w:t>from mid-</w:t>
      </w:r>
      <w:r>
        <w:rPr>
          <w:b w:val="0"/>
          <w:bCs/>
          <w:iCs/>
          <w:sz w:val="22"/>
        </w:rPr>
        <w:t xml:space="preserve">2025 </w:t>
      </w:r>
      <w:r w:rsidR="001317A9">
        <w:rPr>
          <w:b w:val="0"/>
          <w:bCs/>
          <w:iCs/>
          <w:sz w:val="22"/>
        </w:rPr>
        <w:t xml:space="preserve">through February </w:t>
      </w:r>
      <w:r>
        <w:rPr>
          <w:b w:val="0"/>
          <w:bCs/>
          <w:iCs/>
          <w:sz w:val="22"/>
        </w:rPr>
        <w:t xml:space="preserve"> 2026</w:t>
      </w:r>
      <w:r w:rsidR="001317A9">
        <w:rPr>
          <w:b w:val="0"/>
          <w:bCs/>
          <w:iCs/>
          <w:sz w:val="22"/>
        </w:rPr>
        <w:t>, but they can have an orb of up to 10 months before the first period and after the last</w:t>
      </w:r>
      <w:r w:rsidR="006833CC">
        <w:rPr>
          <w:b w:val="0"/>
          <w:bCs/>
          <w:iCs/>
          <w:sz w:val="22"/>
        </w:rPr>
        <w:t xml:space="preserve"> to complete a long-term Nikkei market cycle.</w:t>
      </w:r>
    </w:p>
    <w:p w14:paraId="77A2F00A" w14:textId="77777777" w:rsidR="001317A9" w:rsidRDefault="001317A9" w:rsidP="0035735D">
      <w:pPr>
        <w:pStyle w:val="BodyText"/>
        <w:jc w:val="both"/>
        <w:rPr>
          <w:b w:val="0"/>
          <w:bCs/>
          <w:iCs/>
          <w:sz w:val="22"/>
        </w:rPr>
      </w:pPr>
    </w:p>
    <w:p w14:paraId="60807574" w14:textId="1A7927C4" w:rsidR="001317A9" w:rsidRDefault="001317A9" w:rsidP="0035735D">
      <w:pPr>
        <w:pStyle w:val="BodyText"/>
        <w:jc w:val="both"/>
        <w:rPr>
          <w:b w:val="0"/>
          <w:bCs/>
          <w:iCs/>
          <w:sz w:val="22"/>
        </w:rPr>
      </w:pPr>
      <w:r>
        <w:rPr>
          <w:b w:val="0"/>
          <w:bCs/>
          <w:iCs/>
          <w:sz w:val="22"/>
        </w:rPr>
        <w:tab/>
        <w:t xml:space="preserve">If we look at the </w:t>
      </w:r>
      <w:r w:rsidR="00C41149">
        <w:rPr>
          <w:b w:val="0"/>
          <w:bCs/>
          <w:iCs/>
          <w:sz w:val="22"/>
        </w:rPr>
        <w:t xml:space="preserve">only </w:t>
      </w:r>
      <w:r>
        <w:rPr>
          <w:b w:val="0"/>
          <w:bCs/>
          <w:iCs/>
          <w:sz w:val="22"/>
        </w:rPr>
        <w:t>t</w:t>
      </w:r>
      <w:r w:rsidR="00C41149">
        <w:rPr>
          <w:b w:val="0"/>
          <w:bCs/>
          <w:iCs/>
          <w:sz w:val="22"/>
        </w:rPr>
        <w:t>hree</w:t>
      </w:r>
      <w:r>
        <w:rPr>
          <w:b w:val="0"/>
          <w:bCs/>
          <w:iCs/>
          <w:sz w:val="22"/>
        </w:rPr>
        <w:t xml:space="preserve"> cases of this 36-year cycle</w:t>
      </w:r>
      <w:r w:rsidR="006833CC">
        <w:rPr>
          <w:b w:val="0"/>
          <w:bCs/>
          <w:iCs/>
          <w:sz w:val="22"/>
        </w:rPr>
        <w:t xml:space="preserve"> since 1950</w:t>
      </w:r>
      <w:r>
        <w:rPr>
          <w:b w:val="0"/>
          <w:bCs/>
          <w:iCs/>
          <w:sz w:val="22"/>
        </w:rPr>
        <w:t>, we will see all-time highs – and even bubbles – have formed</w:t>
      </w:r>
      <w:r w:rsidR="006833CC">
        <w:rPr>
          <w:b w:val="0"/>
          <w:bCs/>
          <w:iCs/>
          <w:sz w:val="22"/>
        </w:rPr>
        <w:t xml:space="preserve"> in each case</w:t>
      </w:r>
      <w:r>
        <w:rPr>
          <w:b w:val="0"/>
          <w:bCs/>
          <w:iCs/>
          <w:sz w:val="22"/>
        </w:rPr>
        <w:t xml:space="preserve">. The first occurrence was the three-passage series from November 1952 through July 1953. In the chart below, you can see this all-time high in the Nikkei occurred then. It was at least the crest of </w:t>
      </w:r>
      <w:r w:rsidR="006833CC">
        <w:rPr>
          <w:b w:val="0"/>
          <w:bCs/>
          <w:iCs/>
          <w:sz w:val="22"/>
        </w:rPr>
        <w:t>a</w:t>
      </w:r>
      <w:r>
        <w:rPr>
          <w:b w:val="0"/>
          <w:bCs/>
          <w:iCs/>
          <w:sz w:val="22"/>
        </w:rPr>
        <w:t xml:space="preserve"> 6.33- or 9.5-year cycle. </w:t>
      </w:r>
    </w:p>
    <w:p w14:paraId="59B5C948" w14:textId="77777777" w:rsidR="00C41149" w:rsidRDefault="00C41149" w:rsidP="0035735D">
      <w:pPr>
        <w:pStyle w:val="BodyText"/>
        <w:jc w:val="both"/>
        <w:rPr>
          <w:b w:val="0"/>
          <w:bCs/>
          <w:iCs/>
          <w:sz w:val="22"/>
        </w:rPr>
      </w:pPr>
    </w:p>
    <w:p w14:paraId="1370F569" w14:textId="0206F631" w:rsidR="00C41149" w:rsidRDefault="00C41149" w:rsidP="0035735D">
      <w:pPr>
        <w:pStyle w:val="BodyText"/>
        <w:jc w:val="both"/>
        <w:rPr>
          <w:b w:val="0"/>
          <w:bCs/>
          <w:iCs/>
          <w:sz w:val="22"/>
        </w:rPr>
      </w:pPr>
      <w:r>
        <w:rPr>
          <w:b w:val="0"/>
          <w:bCs/>
          <w:iCs/>
          <w:sz w:val="22"/>
        </w:rPr>
        <w:tab/>
        <w:t xml:space="preserve">The second occurrence was another three-passage series form March 1989 through November 1989. This was truly a bubble as the Nikkei soared </w:t>
      </w:r>
      <w:r w:rsidR="005D7E1F">
        <w:rPr>
          <w:b w:val="0"/>
          <w:bCs/>
          <w:iCs/>
          <w:sz w:val="22"/>
        </w:rPr>
        <w:t>from approximately 6850 in October 1982 to 38</w:t>
      </w:r>
      <w:r w:rsidR="006833CC">
        <w:rPr>
          <w:b w:val="0"/>
          <w:bCs/>
          <w:iCs/>
          <w:sz w:val="22"/>
        </w:rPr>
        <w:t>,</w:t>
      </w:r>
      <w:r w:rsidR="005D7E1F">
        <w:rPr>
          <w:b w:val="0"/>
          <w:bCs/>
          <w:iCs/>
          <w:sz w:val="22"/>
        </w:rPr>
        <w:t>957 in December 1989. Japan was an economic superpower</w:t>
      </w:r>
      <w:r w:rsidR="006833CC">
        <w:rPr>
          <w:b w:val="0"/>
          <w:bCs/>
          <w:iCs/>
          <w:sz w:val="22"/>
        </w:rPr>
        <w:t xml:space="preserve"> then</w:t>
      </w:r>
      <w:r w:rsidR="005D7E1F">
        <w:rPr>
          <w:b w:val="0"/>
          <w:bCs/>
          <w:iCs/>
          <w:sz w:val="22"/>
        </w:rPr>
        <w:t xml:space="preserve">, buying up the world. </w:t>
      </w:r>
    </w:p>
    <w:p w14:paraId="20D6D2F3" w14:textId="77777777" w:rsidR="005D7E1F" w:rsidRDefault="005D7E1F" w:rsidP="0035735D">
      <w:pPr>
        <w:pStyle w:val="BodyText"/>
        <w:jc w:val="both"/>
        <w:rPr>
          <w:b w:val="0"/>
          <w:bCs/>
          <w:iCs/>
          <w:sz w:val="22"/>
        </w:rPr>
      </w:pPr>
    </w:p>
    <w:p w14:paraId="56C1E040" w14:textId="66A55606" w:rsidR="005D7E1F" w:rsidRDefault="005D7E1F" w:rsidP="0035735D">
      <w:pPr>
        <w:pStyle w:val="BodyText"/>
        <w:jc w:val="both"/>
        <w:rPr>
          <w:b w:val="0"/>
          <w:bCs/>
          <w:iCs/>
          <w:sz w:val="22"/>
        </w:rPr>
      </w:pPr>
      <w:r>
        <w:rPr>
          <w:b w:val="0"/>
          <w:bCs/>
          <w:iCs/>
          <w:sz w:val="22"/>
        </w:rPr>
        <w:tab/>
        <w:t xml:space="preserve">We are now in the next Saturn-Neptune conjunction period, and once again, the Nikkel stock index is on a tear to new all-time highs, having soared from a low of 6995 in October 2008 to over 50,000 as this is </w:t>
      </w:r>
      <w:proofErr w:type="gramStart"/>
      <w:r>
        <w:rPr>
          <w:b w:val="0"/>
          <w:bCs/>
          <w:iCs/>
          <w:sz w:val="22"/>
        </w:rPr>
        <w:t>being written</w:t>
      </w:r>
      <w:proofErr w:type="gramEnd"/>
      <w:r>
        <w:rPr>
          <w:b w:val="0"/>
          <w:bCs/>
          <w:iCs/>
          <w:sz w:val="22"/>
        </w:rPr>
        <w:t xml:space="preserve"> in November 2025.</w:t>
      </w:r>
    </w:p>
    <w:p w14:paraId="123377FF" w14:textId="0BA7D320" w:rsidR="005D7E1F" w:rsidRDefault="005D7E1F" w:rsidP="0035735D">
      <w:pPr>
        <w:pStyle w:val="BodyText"/>
        <w:jc w:val="both"/>
        <w:rPr>
          <w:b w:val="0"/>
          <w:bCs/>
          <w:iCs/>
          <w:sz w:val="22"/>
        </w:rPr>
      </w:pPr>
      <w:r>
        <w:rPr>
          <w:b w:val="0"/>
          <w:bCs/>
          <w:iCs/>
          <w:noProof/>
          <w:sz w:val="22"/>
        </w:rPr>
        <w:lastRenderedPageBreak/>
        <w:drawing>
          <wp:inline distT="0" distB="0" distL="0" distR="0" wp14:anchorId="405B2AD2" wp14:editId="336A380A">
            <wp:extent cx="5943600" cy="3639820"/>
            <wp:effectExtent l="0" t="0" r="0" b="0"/>
            <wp:docPr id="1292699584" name="Picture 5"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9584" name="Picture 5" descr="A graph showing a line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inline>
        </w:drawing>
      </w:r>
    </w:p>
    <w:p w14:paraId="15CA3342" w14:textId="77777777" w:rsidR="001317A9" w:rsidRDefault="001317A9" w:rsidP="0035735D">
      <w:pPr>
        <w:pStyle w:val="BodyText"/>
        <w:jc w:val="both"/>
        <w:rPr>
          <w:b w:val="0"/>
          <w:bCs/>
          <w:iCs/>
          <w:sz w:val="22"/>
        </w:rPr>
      </w:pPr>
    </w:p>
    <w:p w14:paraId="460D86BC" w14:textId="113FA250" w:rsidR="001E18D8" w:rsidRDefault="005D7E1F" w:rsidP="000F17C1">
      <w:pPr>
        <w:pStyle w:val="BodyText"/>
        <w:ind w:firstLine="432"/>
        <w:jc w:val="both"/>
        <w:rPr>
          <w:b w:val="0"/>
          <w:iCs/>
          <w:sz w:val="22"/>
        </w:rPr>
      </w:pPr>
      <w:r>
        <w:rPr>
          <w:b w:val="0"/>
          <w:iCs/>
          <w:sz w:val="22"/>
        </w:rPr>
        <w:t xml:space="preserve">The last two Saturn-Neptune cycles saw the Nikkei complete its bubble </w:t>
      </w:r>
      <w:proofErr w:type="gramStart"/>
      <w:r>
        <w:rPr>
          <w:b w:val="0"/>
          <w:iCs/>
          <w:sz w:val="22"/>
        </w:rPr>
        <w:t>very close</w:t>
      </w:r>
      <w:proofErr w:type="gramEnd"/>
      <w:r>
        <w:rPr>
          <w:b w:val="0"/>
          <w:iCs/>
          <w:sz w:val="22"/>
        </w:rPr>
        <w:t xml:space="preserve"> – within one month –  of those conjunctions. If that is to happen again</w:t>
      </w:r>
      <w:r w:rsidR="006833CC">
        <w:rPr>
          <w:b w:val="0"/>
          <w:iCs/>
          <w:sz w:val="22"/>
        </w:rPr>
        <w:t xml:space="preserve"> in the current instance</w:t>
      </w:r>
      <w:r>
        <w:rPr>
          <w:b w:val="0"/>
          <w:iCs/>
          <w:sz w:val="22"/>
        </w:rPr>
        <w:t>, it would mean the bubble peaks by March 2026.</w:t>
      </w:r>
    </w:p>
    <w:p w14:paraId="7390658D" w14:textId="77777777" w:rsidR="005D7E1F" w:rsidRDefault="005D7E1F" w:rsidP="000F17C1">
      <w:pPr>
        <w:pStyle w:val="BodyText"/>
        <w:ind w:firstLine="432"/>
        <w:jc w:val="both"/>
        <w:rPr>
          <w:b w:val="0"/>
          <w:iCs/>
          <w:sz w:val="22"/>
        </w:rPr>
      </w:pPr>
    </w:p>
    <w:p w14:paraId="376B0797" w14:textId="618AAC7E" w:rsidR="005D7E1F" w:rsidRDefault="005D7E1F" w:rsidP="000F17C1">
      <w:pPr>
        <w:pStyle w:val="BodyText"/>
        <w:ind w:firstLine="432"/>
        <w:jc w:val="both"/>
        <w:rPr>
          <w:b w:val="0"/>
          <w:iCs/>
          <w:sz w:val="22"/>
        </w:rPr>
      </w:pPr>
      <w:r>
        <w:rPr>
          <w:b w:val="0"/>
          <w:iCs/>
          <w:sz w:val="22"/>
        </w:rPr>
        <w:t>If we examine the 9-year quarter cycle phases of this p</w:t>
      </w:r>
      <w:r w:rsidR="00043549">
        <w:rPr>
          <w:b w:val="0"/>
          <w:iCs/>
          <w:sz w:val="22"/>
        </w:rPr>
        <w:t>lanetary</w:t>
      </w:r>
      <w:r>
        <w:rPr>
          <w:b w:val="0"/>
          <w:iCs/>
          <w:sz w:val="22"/>
        </w:rPr>
        <w:t xml:space="preserve"> cycle (the s</w:t>
      </w:r>
      <w:r w:rsidR="00043549">
        <w:rPr>
          <w:b w:val="0"/>
          <w:iCs/>
          <w:sz w:val="22"/>
        </w:rPr>
        <w:t>q</w:t>
      </w:r>
      <w:r>
        <w:rPr>
          <w:b w:val="0"/>
          <w:iCs/>
          <w:sz w:val="22"/>
        </w:rPr>
        <w:t xml:space="preserve">uares and </w:t>
      </w:r>
      <w:r w:rsidR="00043549">
        <w:rPr>
          <w:b w:val="0"/>
          <w:iCs/>
          <w:sz w:val="22"/>
        </w:rPr>
        <w:t>oppositions</w:t>
      </w:r>
      <w:r>
        <w:rPr>
          <w:b w:val="0"/>
          <w:iCs/>
          <w:sz w:val="22"/>
        </w:rPr>
        <w:t xml:space="preserve">), we will see </w:t>
      </w:r>
      <w:r w:rsidR="00043549">
        <w:rPr>
          <w:b w:val="0"/>
          <w:iCs/>
          <w:sz w:val="22"/>
        </w:rPr>
        <w:t>long-term cycles peaked and bottom nearby then too</w:t>
      </w:r>
      <w:r>
        <w:rPr>
          <w:b w:val="0"/>
          <w:iCs/>
          <w:sz w:val="22"/>
        </w:rPr>
        <w:t xml:space="preserve">, but with a little more orb in time. </w:t>
      </w:r>
      <w:r w:rsidR="00043549">
        <w:rPr>
          <w:b w:val="0"/>
          <w:iCs/>
          <w:sz w:val="22"/>
        </w:rPr>
        <w:t>For instance, the first quarter square (waxing or opening square) after the 1952-53 conjunction happened with a single passage in February 1963. The Nikkei was in a bull market then too, peaking with another new all-time high nearby to the square. The last waning square between these two planets took place in a 3-passage series between November 2015 and September 2016. The crest of the 6.33-year cycle occurred in June 2015,j</w:t>
      </w:r>
      <w:r w:rsidR="006833CC">
        <w:rPr>
          <w:b w:val="0"/>
          <w:iCs/>
          <w:sz w:val="22"/>
        </w:rPr>
        <w:t>u</w:t>
      </w:r>
      <w:r w:rsidR="00043549">
        <w:rPr>
          <w:b w:val="0"/>
          <w:iCs/>
          <w:sz w:val="22"/>
        </w:rPr>
        <w:t>st five months before the aspect started. But the 6.33-year cycle low occurred right in the central time band, in February and June 2016.</w:t>
      </w:r>
      <w:r w:rsidR="00132866">
        <w:rPr>
          <w:b w:val="0"/>
          <w:iCs/>
          <w:sz w:val="22"/>
        </w:rPr>
        <w:t xml:space="preserve"> In all but one of these nine cases, a long-term cycle crest occurred within 9 months of these aspects, and most within the central time band when the aspect was a 3-passage series.</w:t>
      </w:r>
    </w:p>
    <w:p w14:paraId="0F009883" w14:textId="77777777" w:rsidR="00043549" w:rsidRDefault="00043549" w:rsidP="000F17C1">
      <w:pPr>
        <w:pStyle w:val="BodyText"/>
        <w:ind w:firstLine="432"/>
        <w:jc w:val="both"/>
        <w:rPr>
          <w:b w:val="0"/>
          <w:iCs/>
          <w:sz w:val="22"/>
        </w:rPr>
      </w:pPr>
    </w:p>
    <w:p w14:paraId="3AD94600" w14:textId="669CC38F" w:rsidR="002D042D" w:rsidRDefault="00132866" w:rsidP="00043549">
      <w:pPr>
        <w:pStyle w:val="BodyText"/>
        <w:ind w:firstLine="432"/>
        <w:jc w:val="both"/>
        <w:rPr>
          <w:b w:val="0"/>
          <w:iCs/>
          <w:sz w:val="22"/>
        </w:rPr>
      </w:pPr>
      <w:r>
        <w:rPr>
          <w:b w:val="0"/>
          <w:iCs/>
          <w:sz w:val="22"/>
        </w:rPr>
        <w:t>It is happening again. The</w:t>
      </w:r>
      <w:r w:rsidR="00043549">
        <w:rPr>
          <w:b w:val="0"/>
          <w:iCs/>
          <w:sz w:val="22"/>
        </w:rPr>
        <w:t xml:space="preserve"> present conjunction </w:t>
      </w:r>
      <w:r>
        <w:rPr>
          <w:b w:val="0"/>
          <w:iCs/>
          <w:sz w:val="22"/>
        </w:rPr>
        <w:t>is coinciding with</w:t>
      </w:r>
      <w:r w:rsidR="00043549">
        <w:rPr>
          <w:b w:val="0"/>
          <w:iCs/>
          <w:sz w:val="22"/>
        </w:rPr>
        <w:t xml:space="preserve"> new all-time highs </w:t>
      </w:r>
      <w:r>
        <w:rPr>
          <w:b w:val="0"/>
          <w:iCs/>
          <w:sz w:val="22"/>
        </w:rPr>
        <w:t xml:space="preserve">in the Nikkei, and in fact </w:t>
      </w:r>
      <w:proofErr w:type="gramStart"/>
      <w:r>
        <w:rPr>
          <w:b w:val="0"/>
          <w:iCs/>
          <w:sz w:val="22"/>
        </w:rPr>
        <w:t xml:space="preserve">it appears </w:t>
      </w:r>
      <w:r w:rsidR="00043549">
        <w:rPr>
          <w:b w:val="0"/>
          <w:iCs/>
          <w:sz w:val="22"/>
        </w:rPr>
        <w:t>a bubble</w:t>
      </w:r>
      <w:proofErr w:type="gramEnd"/>
      <w:r w:rsidR="00043549">
        <w:rPr>
          <w:b w:val="0"/>
          <w:iCs/>
          <w:sz w:val="22"/>
        </w:rPr>
        <w:t xml:space="preserve"> is unfolding while we are in the central time band of August 2025 through February 2026. Allowing for a 9-month orb, this would imply that the all-time high and long-term cycle crest could very well culminate before the end of 2026</w:t>
      </w:r>
      <w:r>
        <w:rPr>
          <w:b w:val="0"/>
          <w:iCs/>
          <w:sz w:val="22"/>
        </w:rPr>
        <w:t>, and very possibly close to the last passage in February 2026.</w:t>
      </w:r>
    </w:p>
    <w:p w14:paraId="6CEFB5D6" w14:textId="77777777" w:rsidR="0074322F" w:rsidRDefault="0074322F" w:rsidP="00043549">
      <w:pPr>
        <w:pStyle w:val="BodyText"/>
        <w:ind w:firstLine="432"/>
        <w:jc w:val="both"/>
        <w:rPr>
          <w:b w:val="0"/>
          <w:iCs/>
          <w:sz w:val="22"/>
        </w:rPr>
      </w:pPr>
    </w:p>
    <w:p w14:paraId="00D38207" w14:textId="0E2DB27E" w:rsidR="0074322F" w:rsidRDefault="0074322F" w:rsidP="00043549">
      <w:pPr>
        <w:pStyle w:val="BodyText"/>
        <w:ind w:firstLine="432"/>
        <w:jc w:val="both"/>
        <w:rPr>
          <w:b w:val="0"/>
          <w:iCs/>
          <w:sz w:val="22"/>
        </w:rPr>
      </w:pPr>
      <w:r>
        <w:rPr>
          <w:b w:val="0"/>
          <w:iCs/>
          <w:sz w:val="22"/>
        </w:rPr>
        <w:t xml:space="preserve">There are at least three periods that stand out as potentially </w:t>
      </w:r>
      <w:proofErr w:type="gramStart"/>
      <w:r>
        <w:rPr>
          <w:b w:val="0"/>
          <w:iCs/>
          <w:sz w:val="22"/>
        </w:rPr>
        <w:t>very important</w:t>
      </w:r>
      <w:proofErr w:type="gramEnd"/>
      <w:r>
        <w:rPr>
          <w:b w:val="0"/>
          <w:iCs/>
          <w:sz w:val="22"/>
        </w:rPr>
        <w:t xml:space="preserve"> turning points for the Nikkei in 2026. The first is February 2026, +/- one month, when Saturn makes its only exact conjunction to Neptune on February 20. In the previous case of Saturn conjunct Neptune, the bubble peaked one month after this aspect. It then began a 17-year bear market in which its value dropped 82%. In the 1952-53 case, the bear market only lasted two years. In this </w:t>
      </w:r>
      <w:r w:rsidR="00132866">
        <w:rPr>
          <w:b w:val="0"/>
          <w:iCs/>
          <w:sz w:val="22"/>
        </w:rPr>
        <w:t xml:space="preserve">current </w:t>
      </w:r>
      <w:proofErr w:type="gramStart"/>
      <w:r w:rsidR="00132866">
        <w:rPr>
          <w:b w:val="0"/>
          <w:iCs/>
          <w:sz w:val="22"/>
        </w:rPr>
        <w:t>caser</w:t>
      </w:r>
      <w:proofErr w:type="gramEnd"/>
      <w:r w:rsidR="00132866">
        <w:rPr>
          <w:b w:val="0"/>
          <w:iCs/>
          <w:sz w:val="22"/>
        </w:rPr>
        <w:t xml:space="preserve">, </w:t>
      </w:r>
      <w:r>
        <w:rPr>
          <w:b w:val="0"/>
          <w:iCs/>
          <w:sz w:val="22"/>
        </w:rPr>
        <w:t>we anticipate the low to occur between 2027-2030, which would be a 1-4 year bear market</w:t>
      </w:r>
      <w:r w:rsidR="00132866">
        <w:rPr>
          <w:b w:val="0"/>
          <w:iCs/>
          <w:sz w:val="22"/>
        </w:rPr>
        <w:t xml:space="preserve"> if the all-time high forms in 2026 and remains intact.</w:t>
      </w:r>
    </w:p>
    <w:p w14:paraId="0F024089" w14:textId="77777777" w:rsidR="0074322F" w:rsidRDefault="0074322F" w:rsidP="00043549">
      <w:pPr>
        <w:pStyle w:val="BodyText"/>
        <w:ind w:firstLine="432"/>
        <w:jc w:val="both"/>
        <w:rPr>
          <w:b w:val="0"/>
          <w:iCs/>
          <w:sz w:val="22"/>
        </w:rPr>
      </w:pPr>
    </w:p>
    <w:p w14:paraId="1A7868D3" w14:textId="5CF7F8EF" w:rsidR="0074322F" w:rsidRDefault="0074322F" w:rsidP="00132866">
      <w:pPr>
        <w:pStyle w:val="BodyText"/>
        <w:ind w:firstLine="432"/>
        <w:jc w:val="both"/>
        <w:rPr>
          <w:b w:val="0"/>
          <w:iCs/>
          <w:sz w:val="22"/>
        </w:rPr>
      </w:pPr>
      <w:r>
        <w:rPr>
          <w:b w:val="0"/>
          <w:iCs/>
          <w:sz w:val="22"/>
        </w:rPr>
        <w:lastRenderedPageBreak/>
        <w:t xml:space="preserve">The second </w:t>
      </w:r>
      <w:proofErr w:type="gramStart"/>
      <w:r>
        <w:rPr>
          <w:b w:val="0"/>
          <w:iCs/>
          <w:sz w:val="22"/>
        </w:rPr>
        <w:t>very important</w:t>
      </w:r>
      <w:proofErr w:type="gramEnd"/>
      <w:r>
        <w:rPr>
          <w:b w:val="0"/>
          <w:iCs/>
          <w:sz w:val="22"/>
        </w:rPr>
        <w:t xml:space="preserve"> cosmic gathering will take place July 20-21, when Jupiter will form an opposition to Pluto, trine to Neptune, and se</w:t>
      </w:r>
      <w:r w:rsidR="00132866">
        <w:rPr>
          <w:b w:val="0"/>
          <w:iCs/>
          <w:sz w:val="22"/>
        </w:rPr>
        <w:t>x</w:t>
      </w:r>
      <w:r>
        <w:rPr>
          <w:b w:val="0"/>
          <w:iCs/>
          <w:sz w:val="22"/>
        </w:rPr>
        <w:t xml:space="preserve">tile to Uranus. </w:t>
      </w:r>
      <w:proofErr w:type="gramStart"/>
      <w:r>
        <w:rPr>
          <w:b w:val="0"/>
          <w:iCs/>
          <w:sz w:val="22"/>
        </w:rPr>
        <w:t>It’s</w:t>
      </w:r>
      <w:proofErr w:type="gramEnd"/>
      <w:r>
        <w:rPr>
          <w:b w:val="0"/>
          <w:iCs/>
          <w:sz w:val="22"/>
        </w:rPr>
        <w:t xml:space="preserve"> not </w:t>
      </w:r>
      <w:r w:rsidR="00EC73F6">
        <w:rPr>
          <w:b w:val="0"/>
          <w:iCs/>
          <w:sz w:val="22"/>
        </w:rPr>
        <w:t>likely</w:t>
      </w:r>
      <w:r>
        <w:rPr>
          <w:b w:val="0"/>
          <w:iCs/>
          <w:sz w:val="22"/>
        </w:rPr>
        <w:t xml:space="preserve">, but </w:t>
      </w:r>
      <w:r w:rsidR="00EC73F6">
        <w:rPr>
          <w:b w:val="0"/>
          <w:iCs/>
          <w:sz w:val="22"/>
        </w:rPr>
        <w:t>c</w:t>
      </w:r>
      <w:r w:rsidR="00132866">
        <w:rPr>
          <w:b w:val="0"/>
          <w:iCs/>
          <w:sz w:val="22"/>
        </w:rPr>
        <w:t>ertain</w:t>
      </w:r>
      <w:r w:rsidR="00EC73F6">
        <w:rPr>
          <w:b w:val="0"/>
          <w:iCs/>
          <w:sz w:val="22"/>
        </w:rPr>
        <w:t>ly</w:t>
      </w:r>
      <w:r>
        <w:rPr>
          <w:b w:val="0"/>
          <w:iCs/>
          <w:sz w:val="22"/>
        </w:rPr>
        <w:t xml:space="preserve"> possible, that a final burst to a new all-time high </w:t>
      </w:r>
      <w:r w:rsidR="00EC73F6">
        <w:rPr>
          <w:b w:val="0"/>
          <w:iCs/>
          <w:sz w:val="22"/>
        </w:rPr>
        <w:t>culminates</w:t>
      </w:r>
      <w:r>
        <w:rPr>
          <w:b w:val="0"/>
          <w:iCs/>
          <w:sz w:val="22"/>
        </w:rPr>
        <w:t xml:space="preserve"> then, especially with </w:t>
      </w:r>
      <w:r w:rsidR="00EC73F6">
        <w:rPr>
          <w:b w:val="0"/>
          <w:iCs/>
          <w:sz w:val="22"/>
        </w:rPr>
        <w:t>Jupiter</w:t>
      </w:r>
      <w:r>
        <w:rPr>
          <w:b w:val="0"/>
          <w:iCs/>
          <w:sz w:val="22"/>
        </w:rPr>
        <w:t xml:space="preserve"> </w:t>
      </w:r>
      <w:r w:rsidR="00EC73F6">
        <w:rPr>
          <w:b w:val="0"/>
          <w:iCs/>
          <w:sz w:val="22"/>
        </w:rPr>
        <w:t xml:space="preserve">(expansion and euphoria) </w:t>
      </w:r>
      <w:r>
        <w:rPr>
          <w:b w:val="0"/>
          <w:iCs/>
          <w:sz w:val="22"/>
        </w:rPr>
        <w:t xml:space="preserve">involved </w:t>
      </w:r>
      <w:r w:rsidR="00132866">
        <w:rPr>
          <w:b w:val="0"/>
          <w:iCs/>
          <w:sz w:val="22"/>
        </w:rPr>
        <w:t>to</w:t>
      </w:r>
      <w:r>
        <w:rPr>
          <w:b w:val="0"/>
          <w:iCs/>
          <w:sz w:val="22"/>
        </w:rPr>
        <w:t xml:space="preserve"> both Uranus and Neptune, the planets of parabolic moves and bubbles. But history tells us that the final peak of a </w:t>
      </w:r>
      <w:r w:rsidR="00EC73F6">
        <w:rPr>
          <w:b w:val="0"/>
          <w:iCs/>
          <w:sz w:val="22"/>
        </w:rPr>
        <w:t>long-term cycle</w:t>
      </w:r>
      <w:r>
        <w:rPr>
          <w:b w:val="0"/>
          <w:iCs/>
          <w:sz w:val="22"/>
        </w:rPr>
        <w:t xml:space="preserve"> can </w:t>
      </w:r>
      <w:proofErr w:type="gramStart"/>
      <w:r>
        <w:rPr>
          <w:b w:val="0"/>
          <w:iCs/>
          <w:sz w:val="22"/>
        </w:rPr>
        <w:t>take up</w:t>
      </w:r>
      <w:proofErr w:type="gramEnd"/>
      <w:r>
        <w:rPr>
          <w:b w:val="0"/>
          <w:iCs/>
          <w:sz w:val="22"/>
        </w:rPr>
        <w:t xml:space="preserve"> to six months either side of such a planetary </w:t>
      </w:r>
      <w:r w:rsidR="00EC73F6">
        <w:rPr>
          <w:b w:val="0"/>
          <w:iCs/>
          <w:sz w:val="22"/>
        </w:rPr>
        <w:t xml:space="preserve">combination and usually </w:t>
      </w:r>
      <w:r w:rsidR="00132866">
        <w:rPr>
          <w:b w:val="0"/>
          <w:iCs/>
          <w:sz w:val="22"/>
        </w:rPr>
        <w:t>within 2-4 months</w:t>
      </w:r>
      <w:r w:rsidR="00EC73F6">
        <w:rPr>
          <w:b w:val="0"/>
          <w:iCs/>
          <w:sz w:val="22"/>
        </w:rPr>
        <w:t xml:space="preserve">. It </w:t>
      </w:r>
      <w:r w:rsidR="00132866">
        <w:rPr>
          <w:b w:val="0"/>
          <w:iCs/>
          <w:sz w:val="22"/>
        </w:rPr>
        <w:t>is worth noting</w:t>
      </w:r>
      <w:r w:rsidR="00EC73F6">
        <w:rPr>
          <w:b w:val="0"/>
          <w:iCs/>
          <w:sz w:val="22"/>
        </w:rPr>
        <w:t xml:space="preserve"> that a 23-month cycle low </w:t>
      </w:r>
      <w:proofErr w:type="gramStart"/>
      <w:r w:rsidR="00EC73F6">
        <w:rPr>
          <w:b w:val="0"/>
          <w:iCs/>
          <w:sz w:val="22"/>
        </w:rPr>
        <w:t>is also scheduled</w:t>
      </w:r>
      <w:proofErr w:type="gramEnd"/>
      <w:r w:rsidR="00EC73F6">
        <w:rPr>
          <w:b w:val="0"/>
          <w:iCs/>
          <w:sz w:val="22"/>
        </w:rPr>
        <w:t xml:space="preserve"> May-September 2026.</w:t>
      </w:r>
    </w:p>
    <w:p w14:paraId="3D9C53DF" w14:textId="77777777" w:rsidR="00EC73F6" w:rsidRDefault="00EC73F6" w:rsidP="00043549">
      <w:pPr>
        <w:pStyle w:val="BodyText"/>
        <w:ind w:firstLine="432"/>
        <w:jc w:val="both"/>
        <w:rPr>
          <w:b w:val="0"/>
          <w:iCs/>
          <w:sz w:val="22"/>
        </w:rPr>
      </w:pPr>
    </w:p>
    <w:p w14:paraId="3A3F4E4B" w14:textId="224CFE36" w:rsidR="00EC73F6" w:rsidRDefault="00EC73F6" w:rsidP="00043549">
      <w:pPr>
        <w:pStyle w:val="BodyText"/>
        <w:ind w:firstLine="432"/>
        <w:jc w:val="both"/>
        <w:rPr>
          <w:bCs/>
          <w:iCs/>
          <w:sz w:val="22"/>
          <w:szCs w:val="22"/>
        </w:rPr>
      </w:pPr>
      <w:r>
        <w:rPr>
          <w:b w:val="0"/>
          <w:iCs/>
          <w:sz w:val="22"/>
        </w:rPr>
        <w:t xml:space="preserve">The third intense geocosmic period for world financial market </w:t>
      </w:r>
      <w:r w:rsidR="00132866">
        <w:rPr>
          <w:b w:val="0"/>
          <w:iCs/>
          <w:sz w:val="22"/>
        </w:rPr>
        <w:t>is during</w:t>
      </w:r>
      <w:r>
        <w:rPr>
          <w:b w:val="0"/>
          <w:iCs/>
          <w:sz w:val="22"/>
        </w:rPr>
        <w:t xml:space="preserve"> Venus retrograde, October 3-November 13, 2026. This is when central banks often make abrupt changes in their monetary polic</w:t>
      </w:r>
      <w:r w:rsidR="00132866">
        <w:rPr>
          <w:b w:val="0"/>
          <w:iCs/>
          <w:sz w:val="22"/>
        </w:rPr>
        <w:t>y</w:t>
      </w:r>
      <w:r>
        <w:rPr>
          <w:b w:val="0"/>
          <w:iCs/>
          <w:sz w:val="22"/>
        </w:rPr>
        <w:t xml:space="preserve"> and guidance. </w:t>
      </w:r>
      <w:r w:rsidR="00132866">
        <w:rPr>
          <w:b w:val="0"/>
          <w:iCs/>
          <w:sz w:val="22"/>
        </w:rPr>
        <w:t xml:space="preserve">Or a government makes a surprising change in its fiscal policies. </w:t>
      </w:r>
      <w:r>
        <w:rPr>
          <w:b w:val="0"/>
          <w:iCs/>
          <w:sz w:val="22"/>
        </w:rPr>
        <w:t>The abruptness of fiscal or monetary announcements catches investors off guard, usually leading to a sudden sell-off</w:t>
      </w:r>
      <w:r w:rsidR="00132866">
        <w:rPr>
          <w:b w:val="0"/>
          <w:iCs/>
          <w:sz w:val="22"/>
        </w:rPr>
        <w:t xml:space="preserve"> in stocks</w:t>
      </w:r>
      <w:r>
        <w:rPr>
          <w:b w:val="0"/>
          <w:iCs/>
          <w:sz w:val="22"/>
        </w:rPr>
        <w:t>, or reversal back up if the market has been collapsing</w:t>
      </w:r>
      <w:r w:rsidR="00132866">
        <w:rPr>
          <w:b w:val="0"/>
          <w:iCs/>
          <w:sz w:val="22"/>
        </w:rPr>
        <w:t xml:space="preserve"> into this period</w:t>
      </w:r>
      <w:r>
        <w:rPr>
          <w:b w:val="0"/>
          <w:iCs/>
          <w:sz w:val="22"/>
        </w:rPr>
        <w:t xml:space="preserve">. Of especial interest </w:t>
      </w:r>
      <w:r w:rsidR="00132866">
        <w:rPr>
          <w:b w:val="0"/>
          <w:iCs/>
          <w:sz w:val="22"/>
        </w:rPr>
        <w:t>will be</w:t>
      </w:r>
      <w:r>
        <w:rPr>
          <w:b w:val="0"/>
          <w:iCs/>
          <w:sz w:val="22"/>
        </w:rPr>
        <w:t xml:space="preserve"> the end of the Venus retrograde cycle on November 13, for Mercury will also </w:t>
      </w:r>
      <w:r w:rsidR="004A5060">
        <w:rPr>
          <w:b w:val="0"/>
          <w:iCs/>
          <w:sz w:val="22"/>
        </w:rPr>
        <w:t>complete</w:t>
      </w:r>
      <w:r>
        <w:rPr>
          <w:b w:val="0"/>
          <w:iCs/>
          <w:sz w:val="22"/>
        </w:rPr>
        <w:t xml:space="preserve"> one of its retrograde cycles on the same day. A similar phenomenon happened around April 7, 2025, when both Mercury and Venus ended their retrograde cycles within a week of one another. That coincided with President Trump’s </w:t>
      </w:r>
      <w:r w:rsidR="005F2FB8">
        <w:rPr>
          <w:b w:val="0"/>
          <w:iCs/>
          <w:sz w:val="22"/>
        </w:rPr>
        <w:t>“</w:t>
      </w:r>
      <w:r>
        <w:rPr>
          <w:b w:val="0"/>
          <w:iCs/>
          <w:sz w:val="22"/>
        </w:rPr>
        <w:t>Liberation Day</w:t>
      </w:r>
      <w:r w:rsidR="005F2FB8">
        <w:rPr>
          <w:b w:val="0"/>
          <w:iCs/>
          <w:sz w:val="22"/>
        </w:rPr>
        <w:t>”</w:t>
      </w:r>
      <w:r>
        <w:rPr>
          <w:b w:val="0"/>
          <w:iCs/>
          <w:sz w:val="22"/>
        </w:rPr>
        <w:t xml:space="preserve"> announcement of new tariffs, </w:t>
      </w:r>
      <w:r w:rsidR="004A5060">
        <w:rPr>
          <w:b w:val="0"/>
          <w:iCs/>
          <w:sz w:val="22"/>
        </w:rPr>
        <w:t xml:space="preserve">and the </w:t>
      </w:r>
      <w:r w:rsidR="005F2FB8">
        <w:rPr>
          <w:b w:val="0"/>
          <w:iCs/>
          <w:sz w:val="22"/>
        </w:rPr>
        <w:t>mini-</w:t>
      </w:r>
      <w:r>
        <w:rPr>
          <w:b w:val="0"/>
          <w:iCs/>
          <w:sz w:val="22"/>
        </w:rPr>
        <w:t xml:space="preserve">panic in stock </w:t>
      </w:r>
      <w:r w:rsidR="005F2FB8">
        <w:rPr>
          <w:b w:val="0"/>
          <w:iCs/>
          <w:sz w:val="22"/>
        </w:rPr>
        <w:t>markets</w:t>
      </w:r>
      <w:r>
        <w:rPr>
          <w:b w:val="0"/>
          <w:iCs/>
          <w:sz w:val="22"/>
        </w:rPr>
        <w:t xml:space="preserve"> </w:t>
      </w:r>
      <w:r w:rsidR="004A5060">
        <w:rPr>
          <w:b w:val="0"/>
          <w:iCs/>
          <w:sz w:val="22"/>
        </w:rPr>
        <w:t xml:space="preserve">that followed </w:t>
      </w:r>
      <w:r>
        <w:rPr>
          <w:b w:val="0"/>
          <w:iCs/>
          <w:sz w:val="22"/>
        </w:rPr>
        <w:t>around the world. That</w:t>
      </w:r>
      <w:r w:rsidR="005F2FB8">
        <w:rPr>
          <w:b w:val="0"/>
          <w:iCs/>
          <w:sz w:val="22"/>
        </w:rPr>
        <w:t xml:space="preserve"> </w:t>
      </w:r>
      <w:r>
        <w:rPr>
          <w:b w:val="0"/>
          <w:iCs/>
          <w:sz w:val="22"/>
        </w:rPr>
        <w:t xml:space="preserve">was also the </w:t>
      </w:r>
      <w:r w:rsidR="004A5060">
        <w:rPr>
          <w:b w:val="0"/>
          <w:iCs/>
          <w:sz w:val="22"/>
        </w:rPr>
        <w:t xml:space="preserve">low </w:t>
      </w:r>
      <w:r w:rsidR="005F2FB8">
        <w:rPr>
          <w:b w:val="0"/>
          <w:iCs/>
          <w:sz w:val="22"/>
        </w:rPr>
        <w:t>of</w:t>
      </w:r>
      <w:r>
        <w:rPr>
          <w:b w:val="0"/>
          <w:iCs/>
          <w:sz w:val="22"/>
        </w:rPr>
        <w:t xml:space="preserve"> the year in the Japanese Nikkei index. T</w:t>
      </w:r>
      <w:r w:rsidR="005F2FB8">
        <w:rPr>
          <w:b w:val="0"/>
          <w:iCs/>
          <w:sz w:val="22"/>
        </w:rPr>
        <w:t>h</w:t>
      </w:r>
      <w:r>
        <w:rPr>
          <w:b w:val="0"/>
          <w:iCs/>
          <w:sz w:val="22"/>
        </w:rPr>
        <w:t>us, inve</w:t>
      </w:r>
      <w:r w:rsidR="005F2FB8">
        <w:rPr>
          <w:b w:val="0"/>
          <w:iCs/>
          <w:sz w:val="22"/>
        </w:rPr>
        <w:t>s</w:t>
      </w:r>
      <w:r>
        <w:rPr>
          <w:b w:val="0"/>
          <w:iCs/>
          <w:sz w:val="22"/>
        </w:rPr>
        <w:t xml:space="preserve">tors and traders will </w:t>
      </w:r>
      <w:r w:rsidR="004A5060">
        <w:rPr>
          <w:b w:val="0"/>
          <w:iCs/>
          <w:sz w:val="22"/>
        </w:rPr>
        <w:t>again</w:t>
      </w:r>
      <w:r w:rsidR="004A5060">
        <w:rPr>
          <w:b w:val="0"/>
          <w:iCs/>
          <w:sz w:val="22"/>
        </w:rPr>
        <w:t xml:space="preserve"> </w:t>
      </w:r>
      <w:r>
        <w:rPr>
          <w:b w:val="0"/>
          <w:iCs/>
          <w:sz w:val="22"/>
        </w:rPr>
        <w:t xml:space="preserve">need to be very </w:t>
      </w:r>
      <w:r w:rsidR="005F2FB8">
        <w:rPr>
          <w:b w:val="0"/>
          <w:iCs/>
          <w:sz w:val="22"/>
        </w:rPr>
        <w:t>vigilant</w:t>
      </w:r>
      <w:r>
        <w:rPr>
          <w:b w:val="0"/>
          <w:iCs/>
          <w:sz w:val="22"/>
        </w:rPr>
        <w:t xml:space="preserve"> </w:t>
      </w:r>
      <w:r w:rsidR="005F2FB8">
        <w:rPr>
          <w:b w:val="0"/>
          <w:iCs/>
          <w:sz w:val="22"/>
        </w:rPr>
        <w:t>i</w:t>
      </w:r>
      <w:r>
        <w:rPr>
          <w:b w:val="0"/>
          <w:iCs/>
          <w:sz w:val="22"/>
        </w:rPr>
        <w:t>f the Nikkei is mak</w:t>
      </w:r>
      <w:r w:rsidR="005F2FB8">
        <w:rPr>
          <w:b w:val="0"/>
          <w:iCs/>
          <w:sz w:val="22"/>
        </w:rPr>
        <w:t>in</w:t>
      </w:r>
      <w:r>
        <w:rPr>
          <w:b w:val="0"/>
          <w:iCs/>
          <w:sz w:val="22"/>
        </w:rPr>
        <w:t xml:space="preserve">g another new all-time high </w:t>
      </w:r>
      <w:r w:rsidR="004A5060">
        <w:rPr>
          <w:b w:val="0"/>
          <w:iCs/>
          <w:sz w:val="22"/>
        </w:rPr>
        <w:t>just before then.</w:t>
      </w:r>
    </w:p>
    <w:p w14:paraId="3C12C2EF" w14:textId="77777777" w:rsidR="004D7594" w:rsidRDefault="004D7594" w:rsidP="002D042D">
      <w:pPr>
        <w:ind w:firstLine="432"/>
        <w:jc w:val="both"/>
        <w:rPr>
          <w:bCs/>
          <w:iCs/>
          <w:sz w:val="22"/>
          <w:szCs w:val="22"/>
        </w:rPr>
      </w:pPr>
    </w:p>
    <w:p w14:paraId="2F4BEFA9" w14:textId="77777777" w:rsidR="004D7594" w:rsidRPr="003670EF" w:rsidRDefault="004D7594" w:rsidP="004D7594">
      <w:pPr>
        <w:pStyle w:val="BodyText"/>
        <w:jc w:val="both"/>
        <w:rPr>
          <w:bCs/>
          <w:iCs/>
          <w:sz w:val="22"/>
        </w:rPr>
      </w:pPr>
      <w:r>
        <w:rPr>
          <w:bCs/>
          <w:iCs/>
          <w:sz w:val="22"/>
        </w:rPr>
        <w:t>PRICE TARGETS</w:t>
      </w:r>
    </w:p>
    <w:p w14:paraId="0F35E69D" w14:textId="77777777" w:rsidR="004D7594" w:rsidRDefault="004D7594" w:rsidP="004D7594">
      <w:pPr>
        <w:pStyle w:val="BodyText"/>
        <w:jc w:val="both"/>
        <w:rPr>
          <w:b w:val="0"/>
          <w:iCs/>
          <w:sz w:val="22"/>
        </w:rPr>
      </w:pPr>
    </w:p>
    <w:p w14:paraId="21DCBBB3" w14:textId="426B7B32" w:rsidR="004D7594" w:rsidRDefault="004D7594" w:rsidP="004D7594">
      <w:pPr>
        <w:pStyle w:val="BodyText"/>
        <w:jc w:val="both"/>
        <w:rPr>
          <w:b w:val="0"/>
          <w:iCs/>
          <w:sz w:val="22"/>
        </w:rPr>
      </w:pPr>
      <w:r>
        <w:rPr>
          <w:b w:val="0"/>
          <w:iCs/>
          <w:sz w:val="22"/>
        </w:rPr>
        <w:tab/>
      </w:r>
      <w:r w:rsidR="008E7D39">
        <w:rPr>
          <w:b w:val="0"/>
          <w:iCs/>
          <w:sz w:val="22"/>
        </w:rPr>
        <w:t xml:space="preserve">The  Nikkei </w:t>
      </w:r>
      <w:r w:rsidR="004A5060">
        <w:rPr>
          <w:b w:val="0"/>
          <w:iCs/>
          <w:sz w:val="22"/>
        </w:rPr>
        <w:t>has</w:t>
      </w:r>
      <w:r w:rsidR="008E7D39">
        <w:rPr>
          <w:b w:val="0"/>
          <w:iCs/>
          <w:sz w:val="22"/>
        </w:rPr>
        <w:t xml:space="preserve"> rallied 17 years since the 19-year cycle low of October 2008 at 6995. In the previous Saturn-Neptune cycle bubble, the low started in 1974 at 3355 and lasted 15 years until the end of 1989 when it peaked at 38,957, an appreciation of over 10-fold. A similar gain this time is not likely, but it is possible, as it has already gained 750%</w:t>
      </w:r>
      <w:r w:rsidR="004A5060">
        <w:rPr>
          <w:b w:val="0"/>
          <w:iCs/>
          <w:sz w:val="22"/>
        </w:rPr>
        <w:t xml:space="preserve"> since the low of 2008</w:t>
      </w:r>
      <w:r w:rsidR="008E7D39">
        <w:rPr>
          <w:b w:val="0"/>
          <w:iCs/>
          <w:sz w:val="22"/>
        </w:rPr>
        <w:t xml:space="preserve">. </w:t>
      </w:r>
    </w:p>
    <w:p w14:paraId="17FE85F2" w14:textId="77777777" w:rsidR="008E0F00" w:rsidRDefault="008E0F00" w:rsidP="004D7594">
      <w:pPr>
        <w:pStyle w:val="BodyText"/>
        <w:jc w:val="both"/>
        <w:rPr>
          <w:b w:val="0"/>
          <w:iCs/>
          <w:sz w:val="22"/>
        </w:rPr>
      </w:pPr>
    </w:p>
    <w:p w14:paraId="7571F188" w14:textId="58689437" w:rsidR="004D7594" w:rsidRDefault="008E0F00" w:rsidP="00B70E8E">
      <w:pPr>
        <w:pStyle w:val="BodyText"/>
        <w:jc w:val="both"/>
        <w:rPr>
          <w:b w:val="0"/>
          <w:iCs/>
          <w:sz w:val="22"/>
        </w:rPr>
      </w:pPr>
      <w:r>
        <w:rPr>
          <w:b w:val="0"/>
          <w:iCs/>
          <w:sz w:val="22"/>
        </w:rPr>
        <w:tab/>
        <w:t xml:space="preserve">The high of 52,411 as of </w:t>
      </w:r>
      <w:r w:rsidRPr="008E0F00">
        <w:rPr>
          <w:b w:val="0"/>
          <w:iCs/>
          <w:sz w:val="22"/>
        </w:rPr>
        <w:t xml:space="preserve">November 4 has exceeded all of our upside targets </w:t>
      </w:r>
      <w:r>
        <w:rPr>
          <w:b w:val="0"/>
          <w:iCs/>
          <w:sz w:val="22"/>
        </w:rPr>
        <w:t xml:space="preserve">for long-term cycle crests. </w:t>
      </w:r>
      <w:r w:rsidR="008936A1">
        <w:rPr>
          <w:b w:val="0"/>
          <w:iCs/>
          <w:sz w:val="22"/>
        </w:rPr>
        <w:t xml:space="preserve">It is </w:t>
      </w:r>
      <w:proofErr w:type="gramStart"/>
      <w:r w:rsidR="008936A1">
        <w:rPr>
          <w:b w:val="0"/>
          <w:iCs/>
          <w:sz w:val="22"/>
        </w:rPr>
        <w:t>very near</w:t>
      </w:r>
      <w:proofErr w:type="gramEnd"/>
      <w:r w:rsidR="008936A1">
        <w:rPr>
          <w:b w:val="0"/>
          <w:iCs/>
          <w:sz w:val="22"/>
        </w:rPr>
        <w:t xml:space="preserve"> to the top of the range for the 23-month cycle crest, which was 45,723-51,353. If it makes a new high and confirms November 19 as an 8.5-month cycle trough at 48,235, then we have an upside target for the new 8.5-month cycle crest at 69,850 +/- 4610. We also have a measuring gap upside target based on a weekly gap up on October 6, 2025</w:t>
      </w:r>
      <w:r w:rsidR="00B70E8E">
        <w:rPr>
          <w:b w:val="0"/>
          <w:iCs/>
          <w:sz w:val="22"/>
        </w:rPr>
        <w:t>,</w:t>
      </w:r>
      <w:r w:rsidR="008936A1">
        <w:rPr>
          <w:b w:val="0"/>
          <w:iCs/>
          <w:sz w:val="22"/>
        </w:rPr>
        <w:t xml:space="preserve"> at 45,852, which comes out to 61,604 +/- 3635. However, closing </w:t>
      </w:r>
      <w:r w:rsidR="004A5060">
        <w:rPr>
          <w:b w:val="0"/>
          <w:iCs/>
          <w:sz w:val="22"/>
        </w:rPr>
        <w:t xml:space="preserve">below </w:t>
      </w:r>
      <w:r w:rsidR="008936A1">
        <w:rPr>
          <w:b w:val="0"/>
          <w:iCs/>
          <w:sz w:val="22"/>
        </w:rPr>
        <w:t>45,778 will nullify this upside target</w:t>
      </w:r>
      <w:r w:rsidR="004A5060">
        <w:rPr>
          <w:b w:val="0"/>
          <w:iCs/>
          <w:sz w:val="22"/>
        </w:rPr>
        <w:t xml:space="preserve"> and could even be the start of the next big move down.</w:t>
      </w:r>
    </w:p>
    <w:p w14:paraId="59574899" w14:textId="77777777" w:rsidR="00B70E8E" w:rsidRDefault="00B70E8E" w:rsidP="00B70E8E">
      <w:pPr>
        <w:pStyle w:val="BodyText"/>
        <w:jc w:val="both"/>
        <w:rPr>
          <w:b w:val="0"/>
          <w:iCs/>
          <w:sz w:val="22"/>
        </w:rPr>
      </w:pPr>
    </w:p>
    <w:p w14:paraId="3CE2597D" w14:textId="6909075B" w:rsidR="00454D0D" w:rsidRDefault="00B70E8E" w:rsidP="00B70E8E">
      <w:pPr>
        <w:pStyle w:val="BodyText"/>
        <w:jc w:val="both"/>
        <w:rPr>
          <w:b w:val="0"/>
          <w:iCs/>
          <w:sz w:val="22"/>
        </w:rPr>
      </w:pPr>
      <w:r>
        <w:rPr>
          <w:b w:val="0"/>
          <w:iCs/>
          <w:sz w:val="22"/>
        </w:rPr>
        <w:tab/>
        <w:t xml:space="preserve">We </w:t>
      </w:r>
      <w:proofErr w:type="gramStart"/>
      <w:r>
        <w:rPr>
          <w:b w:val="0"/>
          <w:iCs/>
          <w:sz w:val="22"/>
        </w:rPr>
        <w:t>won’t</w:t>
      </w:r>
      <w:proofErr w:type="gramEnd"/>
      <w:r>
        <w:rPr>
          <w:b w:val="0"/>
          <w:iCs/>
          <w:sz w:val="22"/>
        </w:rPr>
        <w:t xml:space="preserve"> know the long-term cycle has topped out until prices </w:t>
      </w:r>
      <w:proofErr w:type="gramStart"/>
      <w:r>
        <w:rPr>
          <w:b w:val="0"/>
          <w:iCs/>
          <w:sz w:val="22"/>
        </w:rPr>
        <w:t>test</w:t>
      </w:r>
      <w:proofErr w:type="gramEnd"/>
      <w:r>
        <w:rPr>
          <w:b w:val="0"/>
          <w:iCs/>
          <w:sz w:val="22"/>
        </w:rPr>
        <w:t xml:space="preserve"> or break below the 57-mlonth moving average, currently at 33,437 as of late November. A break below the 25-month moving average will be a strong trigger that the high is in. That moving average is at 39,613 at the end of November 2025 and rising. Once the high is in, the Nikkei shows </w:t>
      </w:r>
      <w:proofErr w:type="gramStart"/>
      <w:r>
        <w:rPr>
          <w:b w:val="0"/>
          <w:iCs/>
          <w:sz w:val="22"/>
        </w:rPr>
        <w:t>much</w:t>
      </w:r>
      <w:proofErr w:type="gramEnd"/>
      <w:r>
        <w:rPr>
          <w:b w:val="0"/>
          <w:iCs/>
          <w:sz w:val="22"/>
        </w:rPr>
        <w:t xml:space="preserve"> support in the range of 39,000-41,000, and then 30,750-31,200. But </w:t>
      </w:r>
      <w:proofErr w:type="gramStart"/>
      <w:r>
        <w:rPr>
          <w:b w:val="0"/>
          <w:iCs/>
          <w:sz w:val="22"/>
        </w:rPr>
        <w:t>ultimately we</w:t>
      </w:r>
      <w:proofErr w:type="gramEnd"/>
      <w:r>
        <w:rPr>
          <w:b w:val="0"/>
          <w:iCs/>
          <w:sz w:val="22"/>
        </w:rPr>
        <w:t xml:space="preserve"> anticipate a decline of 37-63% from the all-time high to the final 19-year low due </w:t>
      </w:r>
      <w:r w:rsidR="004A5060">
        <w:rPr>
          <w:b w:val="0"/>
          <w:iCs/>
          <w:sz w:val="22"/>
        </w:rPr>
        <w:t>in 2027-</w:t>
      </w:r>
      <w:r>
        <w:rPr>
          <w:b w:val="0"/>
          <w:iCs/>
          <w:sz w:val="22"/>
        </w:rPr>
        <w:t xml:space="preserve">2030. </w:t>
      </w:r>
    </w:p>
    <w:p w14:paraId="7BBA7F90" w14:textId="77777777" w:rsidR="00B70E8E" w:rsidRPr="00443FB9" w:rsidRDefault="00B70E8E" w:rsidP="00B70E8E">
      <w:pPr>
        <w:pStyle w:val="BodyText"/>
        <w:jc w:val="both"/>
        <w:rPr>
          <w:b w:val="0"/>
          <w:bCs/>
          <w:sz w:val="22"/>
        </w:rPr>
      </w:pPr>
    </w:p>
    <w:p w14:paraId="531129BB" w14:textId="77777777" w:rsidR="00B70E8E" w:rsidRDefault="0035735D" w:rsidP="00995A9C">
      <w:pPr>
        <w:pStyle w:val="BodyText"/>
        <w:jc w:val="both"/>
        <w:rPr>
          <w:iCs/>
          <w:sz w:val="22"/>
        </w:rPr>
      </w:pPr>
      <w:r w:rsidRPr="00C8435B">
        <w:rPr>
          <w:iCs/>
          <w:sz w:val="22"/>
        </w:rPr>
        <w:t>CONCLUSIONS</w:t>
      </w:r>
    </w:p>
    <w:p w14:paraId="07095884" w14:textId="77777777" w:rsidR="00B70E8E" w:rsidRDefault="00B70E8E" w:rsidP="00995A9C">
      <w:pPr>
        <w:pStyle w:val="BodyText"/>
        <w:jc w:val="both"/>
        <w:rPr>
          <w:iCs/>
          <w:sz w:val="22"/>
        </w:rPr>
      </w:pPr>
    </w:p>
    <w:p w14:paraId="6C4523E7" w14:textId="3DF328BE" w:rsidR="00AE4B5C" w:rsidRDefault="00B70E8E" w:rsidP="00995A9C">
      <w:pPr>
        <w:pStyle w:val="BodyText"/>
        <w:jc w:val="both"/>
        <w:rPr>
          <w:b w:val="0"/>
          <w:iCs/>
          <w:sz w:val="22"/>
        </w:rPr>
      </w:pPr>
      <w:r>
        <w:rPr>
          <w:iCs/>
          <w:sz w:val="22"/>
        </w:rPr>
        <w:tab/>
      </w:r>
      <w:r>
        <w:rPr>
          <w:b w:val="0"/>
          <w:bCs/>
          <w:iCs/>
          <w:sz w:val="22"/>
        </w:rPr>
        <w:t xml:space="preserve">The Japanese Nikkei Index is </w:t>
      </w:r>
      <w:proofErr w:type="gramStart"/>
      <w:r>
        <w:rPr>
          <w:b w:val="0"/>
          <w:bCs/>
          <w:iCs/>
          <w:sz w:val="22"/>
        </w:rPr>
        <w:t>very late</w:t>
      </w:r>
      <w:proofErr w:type="gramEnd"/>
      <w:r>
        <w:rPr>
          <w:b w:val="0"/>
          <w:bCs/>
          <w:iCs/>
          <w:sz w:val="22"/>
        </w:rPr>
        <w:t xml:space="preserve"> in its 19-year cycle. It </w:t>
      </w:r>
      <w:r w:rsidR="00AE4B5C">
        <w:rPr>
          <w:b w:val="0"/>
          <w:bCs/>
          <w:iCs/>
          <w:sz w:val="22"/>
        </w:rPr>
        <w:t>h</w:t>
      </w:r>
      <w:r>
        <w:rPr>
          <w:b w:val="0"/>
          <w:bCs/>
          <w:iCs/>
          <w:sz w:val="22"/>
        </w:rPr>
        <w:t>as no</w:t>
      </w:r>
      <w:r w:rsidR="00AE4B5C">
        <w:rPr>
          <w:b w:val="0"/>
          <w:bCs/>
          <w:iCs/>
          <w:sz w:val="22"/>
        </w:rPr>
        <w:t>w</w:t>
      </w:r>
      <w:r>
        <w:rPr>
          <w:b w:val="0"/>
          <w:bCs/>
          <w:iCs/>
          <w:sz w:val="22"/>
        </w:rPr>
        <w:t xml:space="preserve"> been up for 17 years and the usual length of this cycle, f</w:t>
      </w:r>
      <w:r w:rsidR="00AE4B5C">
        <w:rPr>
          <w:b w:val="0"/>
          <w:bCs/>
          <w:iCs/>
          <w:sz w:val="22"/>
        </w:rPr>
        <w:t>ro</w:t>
      </w:r>
      <w:r>
        <w:rPr>
          <w:b w:val="0"/>
          <w:bCs/>
          <w:iCs/>
          <w:sz w:val="22"/>
        </w:rPr>
        <w:t>m low to low, is 17-21 years.</w:t>
      </w:r>
      <w:r w:rsidR="00DA287B">
        <w:rPr>
          <w:b w:val="0"/>
          <w:iCs/>
          <w:sz w:val="22"/>
        </w:rPr>
        <w:t xml:space="preserve"> </w:t>
      </w:r>
      <w:r w:rsidR="00AE4B5C">
        <w:rPr>
          <w:b w:val="0"/>
          <w:iCs/>
          <w:sz w:val="22"/>
        </w:rPr>
        <w:t>Furthermore, it has appreciated about 750% since October 2008.</w:t>
      </w:r>
      <w:r w:rsidR="004A5060">
        <w:rPr>
          <w:b w:val="0"/>
          <w:iCs/>
          <w:sz w:val="22"/>
        </w:rPr>
        <w:t xml:space="preserve"> </w:t>
      </w:r>
      <w:proofErr w:type="gramStart"/>
      <w:r w:rsidR="004A5060">
        <w:rPr>
          <w:b w:val="0"/>
          <w:iCs/>
          <w:sz w:val="22"/>
        </w:rPr>
        <w:t>It’s</w:t>
      </w:r>
      <w:proofErr w:type="gramEnd"/>
      <w:r w:rsidR="004A5060">
        <w:rPr>
          <w:b w:val="0"/>
          <w:iCs/>
          <w:sz w:val="22"/>
        </w:rPr>
        <w:t xml:space="preserve"> crest is due, even overdue.</w:t>
      </w:r>
    </w:p>
    <w:p w14:paraId="3578C8E0" w14:textId="77777777" w:rsidR="00AE4B5C" w:rsidRDefault="00AE4B5C" w:rsidP="00995A9C">
      <w:pPr>
        <w:pStyle w:val="BodyText"/>
        <w:jc w:val="both"/>
        <w:rPr>
          <w:b w:val="0"/>
          <w:iCs/>
          <w:sz w:val="22"/>
        </w:rPr>
      </w:pPr>
    </w:p>
    <w:p w14:paraId="1CF48B2C" w14:textId="5EBE3ACE" w:rsidR="00AE4B5C" w:rsidRDefault="00AE4B5C" w:rsidP="00AE4B5C">
      <w:pPr>
        <w:pStyle w:val="BodyText"/>
        <w:ind w:firstLine="432"/>
        <w:jc w:val="both"/>
        <w:rPr>
          <w:b w:val="0"/>
          <w:iCs/>
          <w:sz w:val="22"/>
        </w:rPr>
      </w:pPr>
      <w:r>
        <w:rPr>
          <w:b w:val="0"/>
          <w:iCs/>
          <w:sz w:val="22"/>
        </w:rPr>
        <w:t>The Nikkei</w:t>
      </w:r>
      <w:r w:rsidRPr="00AE4B5C">
        <w:rPr>
          <w:b w:val="0"/>
          <w:iCs/>
          <w:sz w:val="22"/>
        </w:rPr>
        <w:t xml:space="preserve"> has g</w:t>
      </w:r>
      <w:r>
        <w:rPr>
          <w:b w:val="0"/>
          <w:iCs/>
          <w:sz w:val="22"/>
        </w:rPr>
        <w:t>one</w:t>
      </w:r>
      <w:r w:rsidRPr="00AE4B5C">
        <w:rPr>
          <w:b w:val="0"/>
          <w:iCs/>
          <w:sz w:val="22"/>
        </w:rPr>
        <w:t xml:space="preserve"> parabolic during the 36-year</w:t>
      </w:r>
      <w:r>
        <w:rPr>
          <w:b w:val="0"/>
          <w:iCs/>
          <w:sz w:val="22"/>
        </w:rPr>
        <w:t xml:space="preserve"> Saturn-Neptune “bubble” conjunction cycle</w:t>
      </w:r>
      <w:r w:rsidR="004A5060">
        <w:rPr>
          <w:b w:val="0"/>
          <w:iCs/>
          <w:sz w:val="22"/>
        </w:rPr>
        <w:t xml:space="preserve"> that took effect in mid-2025</w:t>
      </w:r>
      <w:r>
        <w:rPr>
          <w:b w:val="0"/>
          <w:iCs/>
          <w:sz w:val="22"/>
        </w:rPr>
        <w:t xml:space="preserve">. In the past, this cycle has also coincided with long-term cycle highs, including the bubble of late 1989, after which the Nikkei fell 82% over the following 18 years. It is due for another dramatic decline as the Saturn-Neptune cycle calls for a peak in late 2025 through 2026. </w:t>
      </w:r>
    </w:p>
    <w:p w14:paraId="4B6CB0D2" w14:textId="77777777" w:rsidR="00AE4B5C" w:rsidRDefault="00AE4B5C" w:rsidP="00AE4B5C">
      <w:pPr>
        <w:pStyle w:val="BodyText"/>
        <w:ind w:firstLine="432"/>
        <w:jc w:val="both"/>
        <w:rPr>
          <w:b w:val="0"/>
          <w:iCs/>
          <w:sz w:val="22"/>
        </w:rPr>
      </w:pPr>
    </w:p>
    <w:p w14:paraId="429EE55F" w14:textId="5AA0AC4A" w:rsidR="00B70E8E" w:rsidRDefault="00AE4B5C" w:rsidP="00AE4B5C">
      <w:pPr>
        <w:pStyle w:val="BodyText"/>
        <w:ind w:firstLine="432"/>
        <w:jc w:val="both"/>
        <w:rPr>
          <w:b w:val="0"/>
          <w:iCs/>
          <w:sz w:val="22"/>
        </w:rPr>
      </w:pPr>
      <w:r>
        <w:rPr>
          <w:b w:val="0"/>
          <w:iCs/>
          <w:sz w:val="22"/>
        </w:rPr>
        <w:lastRenderedPageBreak/>
        <w:t>L</w:t>
      </w:r>
      <w:r w:rsidR="00B70E8E">
        <w:rPr>
          <w:b w:val="0"/>
          <w:iCs/>
          <w:sz w:val="22"/>
        </w:rPr>
        <w:t xml:space="preserve">ong-term </w:t>
      </w:r>
      <w:r w:rsidR="004A5060">
        <w:rPr>
          <w:b w:val="0"/>
          <w:iCs/>
          <w:sz w:val="22"/>
        </w:rPr>
        <w:t xml:space="preserve">equity </w:t>
      </w:r>
      <w:r w:rsidR="00B70E8E">
        <w:rPr>
          <w:b w:val="0"/>
          <w:iCs/>
          <w:sz w:val="22"/>
        </w:rPr>
        <w:t xml:space="preserve">investors </w:t>
      </w:r>
      <w:proofErr w:type="gramStart"/>
      <w:r>
        <w:rPr>
          <w:b w:val="0"/>
          <w:iCs/>
          <w:sz w:val="22"/>
        </w:rPr>
        <w:t>are</w:t>
      </w:r>
      <w:r w:rsidR="00B70E8E">
        <w:rPr>
          <w:b w:val="0"/>
          <w:iCs/>
          <w:sz w:val="22"/>
        </w:rPr>
        <w:t xml:space="preserve"> advised</w:t>
      </w:r>
      <w:proofErr w:type="gramEnd"/>
      <w:r w:rsidR="00B70E8E">
        <w:rPr>
          <w:b w:val="0"/>
          <w:iCs/>
          <w:sz w:val="22"/>
        </w:rPr>
        <w:t xml:space="preserve"> to </w:t>
      </w:r>
      <w:r>
        <w:rPr>
          <w:b w:val="0"/>
          <w:iCs/>
          <w:sz w:val="22"/>
        </w:rPr>
        <w:t xml:space="preserve">start looking to take profits in 2026 and wait for a 37-63% or greater decline from wherever this market tops out </w:t>
      </w:r>
      <w:r w:rsidR="00B70E8E">
        <w:rPr>
          <w:b w:val="0"/>
          <w:iCs/>
          <w:sz w:val="22"/>
        </w:rPr>
        <w:t>before beginning a more aggressive long-term buying strategy.</w:t>
      </w:r>
      <w:r>
        <w:rPr>
          <w:b w:val="0"/>
          <w:iCs/>
          <w:sz w:val="22"/>
        </w:rPr>
        <w:t xml:space="preserve"> The expected long-term cycle low is due 2027-2030.</w:t>
      </w:r>
    </w:p>
    <w:p w14:paraId="0D6C4F81" w14:textId="77777777" w:rsidR="00AE4B5C" w:rsidRDefault="00AE4B5C" w:rsidP="00AE4B5C">
      <w:pPr>
        <w:pStyle w:val="BodyText"/>
        <w:ind w:firstLine="432"/>
        <w:jc w:val="both"/>
        <w:rPr>
          <w:b w:val="0"/>
          <w:iCs/>
          <w:sz w:val="22"/>
        </w:rPr>
      </w:pPr>
    </w:p>
    <w:p w14:paraId="10765144" w14:textId="77777777" w:rsidR="004A5060" w:rsidRDefault="00AE4B5C" w:rsidP="00AE4B5C">
      <w:pPr>
        <w:pStyle w:val="BodyText"/>
        <w:ind w:firstLine="432"/>
        <w:jc w:val="both"/>
        <w:rPr>
          <w:b w:val="0"/>
          <w:iCs/>
          <w:sz w:val="22"/>
        </w:rPr>
      </w:pPr>
      <w:r>
        <w:rPr>
          <w:b w:val="0"/>
          <w:iCs/>
          <w:sz w:val="22"/>
        </w:rPr>
        <w:t xml:space="preserve">Shorter-term, traders may look for an 8.5-month cycle low to occur </w:t>
      </w:r>
      <w:r w:rsidR="006B37D5">
        <w:rPr>
          <w:b w:val="0"/>
          <w:iCs/>
          <w:sz w:val="22"/>
        </w:rPr>
        <w:t>before the end of February as a short-term buying opportunity. Saturn conjoins Neptune on February 20, so a low within 6 weeks is possible. There is another powerful confluence of outer planets aspects in effect July 20, 2026. This could coincide with the all-time high too within four months, but it may also coincide with a 23-m</w:t>
      </w:r>
      <w:r w:rsidR="004A5060">
        <w:rPr>
          <w:b w:val="0"/>
          <w:iCs/>
          <w:sz w:val="22"/>
        </w:rPr>
        <w:t>o</w:t>
      </w:r>
      <w:r w:rsidR="006B37D5">
        <w:rPr>
          <w:b w:val="0"/>
          <w:iCs/>
          <w:sz w:val="22"/>
        </w:rPr>
        <w:t xml:space="preserve">nth cycle trough due May-September 2026. </w:t>
      </w:r>
      <w:r w:rsidR="004A5060">
        <w:rPr>
          <w:b w:val="0"/>
          <w:iCs/>
          <w:sz w:val="22"/>
        </w:rPr>
        <w:t xml:space="preserve">Both are possible within 2-4 months of July 20, 2026. </w:t>
      </w:r>
    </w:p>
    <w:p w14:paraId="0F0316F9" w14:textId="77777777" w:rsidR="004A5060" w:rsidRDefault="004A5060" w:rsidP="00AE4B5C">
      <w:pPr>
        <w:pStyle w:val="BodyText"/>
        <w:ind w:firstLine="432"/>
        <w:jc w:val="both"/>
        <w:rPr>
          <w:b w:val="0"/>
          <w:iCs/>
          <w:sz w:val="22"/>
        </w:rPr>
      </w:pPr>
    </w:p>
    <w:p w14:paraId="2B4947C0" w14:textId="2603F6EE" w:rsidR="00AE4B5C" w:rsidRDefault="004A5060" w:rsidP="00AE4B5C">
      <w:pPr>
        <w:pStyle w:val="BodyText"/>
        <w:ind w:firstLine="432"/>
        <w:jc w:val="both"/>
        <w:rPr>
          <w:b w:val="0"/>
          <w:iCs/>
          <w:sz w:val="22"/>
        </w:rPr>
      </w:pPr>
      <w:r>
        <w:rPr>
          <w:b w:val="0"/>
          <w:iCs/>
          <w:sz w:val="22"/>
        </w:rPr>
        <w:t xml:space="preserve">We also </w:t>
      </w:r>
      <w:r w:rsidR="006B37D5">
        <w:rPr>
          <w:b w:val="0"/>
          <w:iCs/>
          <w:sz w:val="22"/>
        </w:rPr>
        <w:t>anticipate another big reversal in the Nikkei index when Venus turns retrograde, October 3–November 13, 2026, especially at the end when Mercury also changes directions</w:t>
      </w:r>
      <w:r>
        <w:rPr>
          <w:b w:val="0"/>
          <w:iCs/>
          <w:sz w:val="22"/>
        </w:rPr>
        <w:t xml:space="preserve"> along with Venus</w:t>
      </w:r>
      <w:r w:rsidR="006B37D5">
        <w:rPr>
          <w:b w:val="0"/>
          <w:iCs/>
          <w:sz w:val="22"/>
        </w:rPr>
        <w:t xml:space="preserve">. </w:t>
      </w:r>
    </w:p>
    <w:p w14:paraId="481DBEE5" w14:textId="77777777" w:rsidR="006B37D5" w:rsidRDefault="006B37D5" w:rsidP="00AE4B5C">
      <w:pPr>
        <w:pStyle w:val="BodyText"/>
        <w:ind w:firstLine="432"/>
        <w:jc w:val="both"/>
        <w:rPr>
          <w:b w:val="0"/>
          <w:iCs/>
          <w:sz w:val="22"/>
        </w:rPr>
      </w:pPr>
    </w:p>
    <w:p w14:paraId="64D2543D" w14:textId="19FFF63D" w:rsidR="00B70E8E" w:rsidRPr="00443FB9" w:rsidRDefault="006B37D5" w:rsidP="00B70E8E">
      <w:pPr>
        <w:pStyle w:val="BodyText"/>
        <w:ind w:firstLine="432"/>
        <w:jc w:val="both"/>
        <w:rPr>
          <w:b w:val="0"/>
          <w:bCs/>
          <w:sz w:val="22"/>
        </w:rPr>
      </w:pPr>
      <w:r>
        <w:rPr>
          <w:b w:val="0"/>
          <w:iCs/>
          <w:sz w:val="22"/>
        </w:rPr>
        <w:t>Since it is so late in the longer-term cycles, and t</w:t>
      </w:r>
      <w:r w:rsidR="004A5060">
        <w:rPr>
          <w:b w:val="0"/>
          <w:iCs/>
          <w:sz w:val="22"/>
        </w:rPr>
        <w:t>he</w:t>
      </w:r>
      <w:r>
        <w:rPr>
          <w:b w:val="0"/>
          <w:iCs/>
          <w:sz w:val="22"/>
        </w:rPr>
        <w:t xml:space="preserve"> </w:t>
      </w:r>
      <w:r w:rsidR="004A5060">
        <w:rPr>
          <w:b w:val="0"/>
          <w:iCs/>
          <w:sz w:val="22"/>
        </w:rPr>
        <w:t xml:space="preserve">Nikkei </w:t>
      </w:r>
      <w:r>
        <w:rPr>
          <w:b w:val="0"/>
          <w:iCs/>
          <w:sz w:val="22"/>
        </w:rPr>
        <w:t xml:space="preserve">crest </w:t>
      </w:r>
      <w:r w:rsidR="004A5060">
        <w:rPr>
          <w:b w:val="0"/>
          <w:iCs/>
          <w:sz w:val="22"/>
        </w:rPr>
        <w:t>is</w:t>
      </w:r>
      <w:r>
        <w:rPr>
          <w:b w:val="0"/>
          <w:iCs/>
          <w:sz w:val="22"/>
        </w:rPr>
        <w:t xml:space="preserve"> due, we will treat this more as a trad</w:t>
      </w:r>
      <w:r w:rsidR="00D5701B">
        <w:rPr>
          <w:b w:val="0"/>
          <w:iCs/>
          <w:sz w:val="22"/>
        </w:rPr>
        <w:t>ing</w:t>
      </w:r>
      <w:r>
        <w:rPr>
          <w:b w:val="0"/>
          <w:iCs/>
          <w:sz w:val="22"/>
        </w:rPr>
        <w:t xml:space="preserve"> </w:t>
      </w:r>
      <w:r w:rsidR="00E456FC">
        <w:rPr>
          <w:b w:val="0"/>
          <w:iCs/>
          <w:sz w:val="22"/>
        </w:rPr>
        <w:t>market</w:t>
      </w:r>
      <w:r w:rsidR="00D5701B">
        <w:rPr>
          <w:b w:val="0"/>
          <w:iCs/>
          <w:sz w:val="22"/>
        </w:rPr>
        <w:t xml:space="preserve"> until it drops 37-63%</w:t>
      </w:r>
      <w:r>
        <w:rPr>
          <w:b w:val="0"/>
          <w:iCs/>
          <w:sz w:val="22"/>
        </w:rPr>
        <w:t>. That is, we will attempt to sell positions every time a primary or intermediate-term cycle crest is due, and we will buy when primary or intermediate term cycle lows are due, every 7-10 months</w:t>
      </w:r>
      <w:r w:rsidR="00D5701B">
        <w:rPr>
          <w:b w:val="0"/>
          <w:iCs/>
          <w:sz w:val="22"/>
        </w:rPr>
        <w:t>, until we get the percentage of decline we are looking for – and then we become long-term investors again</w:t>
      </w:r>
      <w:r>
        <w:rPr>
          <w:b w:val="0"/>
          <w:iCs/>
          <w:sz w:val="22"/>
        </w:rPr>
        <w:t xml:space="preserve">. We suggest that investors start building a substantial cash position in 2026 to take advantage of huge discounts that </w:t>
      </w:r>
      <w:r w:rsidR="00D5701B">
        <w:rPr>
          <w:b w:val="0"/>
          <w:iCs/>
          <w:sz w:val="22"/>
        </w:rPr>
        <w:t>our studies indicate will</w:t>
      </w:r>
      <w:r>
        <w:rPr>
          <w:b w:val="0"/>
          <w:iCs/>
          <w:sz w:val="22"/>
        </w:rPr>
        <w:t xml:space="preserve"> be available in global stock markets when the 9.5- and 19-year cycle lows come </w:t>
      </w:r>
      <w:r w:rsidR="00D5701B">
        <w:rPr>
          <w:b w:val="0"/>
          <w:iCs/>
          <w:sz w:val="22"/>
        </w:rPr>
        <w:t>due</w:t>
      </w:r>
      <w:r>
        <w:rPr>
          <w:b w:val="0"/>
          <w:iCs/>
          <w:sz w:val="22"/>
        </w:rPr>
        <w:t xml:space="preserve"> in 2027-2030. These will present generational opportunities to build wealth in the stock market if timed well. For this reason, readers </w:t>
      </w:r>
      <w:proofErr w:type="gramStart"/>
      <w:r>
        <w:rPr>
          <w:b w:val="0"/>
          <w:iCs/>
          <w:sz w:val="22"/>
        </w:rPr>
        <w:t>are encouraged</w:t>
      </w:r>
      <w:proofErr w:type="gramEnd"/>
      <w:r>
        <w:rPr>
          <w:b w:val="0"/>
          <w:iCs/>
          <w:sz w:val="22"/>
        </w:rPr>
        <w:t xml:space="preserve"> to keep up with these volatile, changing market conditions via the monthly and weekly MMA Japanese Cycles Report issued through Toshi Nippu in Tokyo Japan. </w:t>
      </w:r>
    </w:p>
    <w:p w14:paraId="6494A73B" w14:textId="77777777" w:rsidR="00BC67ED" w:rsidRDefault="00BC67ED" w:rsidP="003D2DE0">
      <w:pPr>
        <w:pStyle w:val="BodyText"/>
        <w:jc w:val="both"/>
        <w:rPr>
          <w:b w:val="0"/>
          <w:iCs/>
          <w:sz w:val="22"/>
        </w:rPr>
      </w:pPr>
    </w:p>
    <w:p w14:paraId="7C3723C5" w14:textId="010922C1" w:rsidR="00747BE9" w:rsidRDefault="00BC67ED" w:rsidP="00D21AD7">
      <w:pPr>
        <w:pStyle w:val="BodyText"/>
        <w:jc w:val="both"/>
        <w:rPr>
          <w:b w:val="0"/>
          <w:sz w:val="22"/>
        </w:rPr>
      </w:pPr>
      <w:r>
        <w:rPr>
          <w:sz w:val="22"/>
        </w:rPr>
        <w:t>C</w:t>
      </w:r>
      <w:r w:rsidR="00747BE9" w:rsidRPr="00747BE9">
        <w:rPr>
          <w:sz w:val="22"/>
        </w:rPr>
        <w:t>RITICAL REVERSAL DATES</w:t>
      </w:r>
      <w:r w:rsidR="004D21F6">
        <w:rPr>
          <w:sz w:val="22"/>
        </w:rPr>
        <w:t xml:space="preserve"> </w:t>
      </w:r>
      <w:r w:rsidR="004D21F6" w:rsidRPr="00A87FDA">
        <w:rPr>
          <w:sz w:val="22"/>
        </w:rPr>
        <w:t>IN 20</w:t>
      </w:r>
      <w:r w:rsidR="00047E8C" w:rsidRPr="00A87FDA">
        <w:rPr>
          <w:sz w:val="22"/>
        </w:rPr>
        <w:t>2</w:t>
      </w:r>
      <w:r w:rsidR="00E456FC">
        <w:rPr>
          <w:sz w:val="22"/>
        </w:rPr>
        <w:t>6</w:t>
      </w:r>
    </w:p>
    <w:p w14:paraId="57284C03" w14:textId="3FF8E914" w:rsidR="001A43FA" w:rsidRDefault="001A43FA" w:rsidP="00D21AD7">
      <w:pPr>
        <w:pStyle w:val="BodyText"/>
        <w:jc w:val="both"/>
        <w:rPr>
          <w:b w:val="0"/>
          <w:sz w:val="22"/>
        </w:rPr>
      </w:pPr>
    </w:p>
    <w:p w14:paraId="2059F986" w14:textId="74A3B8AC" w:rsidR="001A43FA" w:rsidRPr="00FB36B7" w:rsidRDefault="001A43FA" w:rsidP="00300071">
      <w:pPr>
        <w:ind w:firstLine="432"/>
        <w:jc w:val="both"/>
        <w:rPr>
          <w:sz w:val="22"/>
          <w:szCs w:val="22"/>
        </w:rPr>
      </w:pPr>
      <w:r w:rsidRPr="00FB36B7">
        <w:rPr>
          <w:sz w:val="22"/>
          <w:szCs w:val="22"/>
        </w:rPr>
        <w:t xml:space="preserve">The following </w:t>
      </w:r>
      <w:r w:rsidR="00007C24">
        <w:rPr>
          <w:sz w:val="22"/>
          <w:szCs w:val="22"/>
        </w:rPr>
        <w:t xml:space="preserve">is </w:t>
      </w:r>
      <w:r w:rsidRPr="00FB36B7">
        <w:rPr>
          <w:sz w:val="22"/>
          <w:szCs w:val="22"/>
        </w:rPr>
        <w:t xml:space="preserve">a list of three-star geocosmic critical reversal dates (CRDs) used in MMA’s market timing calculations. They are mostly valid when a market is also in the time band for a primary or half-primary cycle crest or trough. They are also primarily accurate if a technical momentum indicator (oscillators) is in overbought or oversold conditions or if there are any cases of intermarket or oscillator divergence readings at the time, as reported in MMA’s daily, weekly, and monthly reports. The best trading set ups occur when these market timing, technical, and charting studies overlap one another. Allow a range of </w:t>
      </w:r>
      <w:proofErr w:type="gramStart"/>
      <w:r w:rsidRPr="00FB36B7">
        <w:rPr>
          <w:sz w:val="22"/>
          <w:szCs w:val="22"/>
        </w:rPr>
        <w:t>3</w:t>
      </w:r>
      <w:proofErr w:type="gramEnd"/>
      <w:r w:rsidRPr="00FB36B7">
        <w:rPr>
          <w:sz w:val="22"/>
          <w:szCs w:val="22"/>
        </w:rPr>
        <w:t xml:space="preserve"> trading days (sometimes as much as 6) to these dates for a reversal.</w:t>
      </w:r>
      <w:r w:rsidR="00D5701B">
        <w:rPr>
          <w:sz w:val="22"/>
          <w:szCs w:val="22"/>
        </w:rPr>
        <w:t xml:space="preserve"> These dates are based on EST, so they may be one day later for Japan than given here.</w:t>
      </w:r>
    </w:p>
    <w:p w14:paraId="36C658A8" w14:textId="77777777" w:rsidR="001A43FA" w:rsidRPr="00FB36B7" w:rsidRDefault="001A43FA" w:rsidP="001A43FA">
      <w:pPr>
        <w:jc w:val="both"/>
        <w:rPr>
          <w:sz w:val="22"/>
          <w:szCs w:val="22"/>
        </w:rPr>
      </w:pPr>
    </w:p>
    <w:p w14:paraId="7243E9BD" w14:textId="6D65568E" w:rsidR="001A43FA" w:rsidRDefault="001A43FA" w:rsidP="001A43FA">
      <w:pPr>
        <w:jc w:val="both"/>
        <w:rPr>
          <w:sz w:val="22"/>
          <w:szCs w:val="22"/>
        </w:rPr>
      </w:pPr>
      <w:r w:rsidRPr="00FB36B7">
        <w:rPr>
          <w:sz w:val="22"/>
          <w:szCs w:val="22"/>
        </w:rPr>
        <w:tab/>
        <w:t>In addition to the three-star CRDs</w:t>
      </w:r>
      <w:r w:rsidR="00933A11">
        <w:rPr>
          <w:sz w:val="22"/>
          <w:szCs w:val="22"/>
        </w:rPr>
        <w:t xml:space="preserve"> </w:t>
      </w:r>
      <w:r w:rsidR="00007C24">
        <w:rPr>
          <w:sz w:val="22"/>
          <w:szCs w:val="22"/>
        </w:rPr>
        <w:t>given for</w:t>
      </w:r>
      <w:r w:rsidR="00933A11">
        <w:rPr>
          <w:sz w:val="22"/>
          <w:szCs w:val="22"/>
        </w:rPr>
        <w:t xml:space="preserve"> the </w:t>
      </w:r>
      <w:r w:rsidR="004A4F51">
        <w:rPr>
          <w:sz w:val="22"/>
          <w:szCs w:val="22"/>
        </w:rPr>
        <w:t>Nikkei below</w:t>
      </w:r>
      <w:r w:rsidRPr="00FB36B7">
        <w:rPr>
          <w:sz w:val="22"/>
          <w:szCs w:val="22"/>
        </w:rPr>
        <w:t xml:space="preserve">, </w:t>
      </w:r>
      <w:r w:rsidR="00D5701B">
        <w:rPr>
          <w:sz w:val="22"/>
          <w:szCs w:val="22"/>
        </w:rPr>
        <w:t xml:space="preserve">readers should also use those provided in the DJIA section. Alsop, understand that </w:t>
      </w:r>
      <w:r w:rsidRPr="00FB36B7">
        <w:rPr>
          <w:sz w:val="22"/>
          <w:szCs w:val="22"/>
        </w:rPr>
        <w:t>there are</w:t>
      </w:r>
      <w:r w:rsidR="004A4F51">
        <w:rPr>
          <w:sz w:val="22"/>
          <w:szCs w:val="22"/>
        </w:rPr>
        <w:t xml:space="preserve"> also </w:t>
      </w:r>
      <w:r w:rsidRPr="00FB36B7">
        <w:rPr>
          <w:sz w:val="22"/>
          <w:szCs w:val="22"/>
        </w:rPr>
        <w:t xml:space="preserve"> 2- and 1-star geocosmic CRD dates that do not </w:t>
      </w:r>
      <w:r w:rsidR="00D5701B">
        <w:rPr>
          <w:sz w:val="22"/>
          <w:szCs w:val="22"/>
        </w:rPr>
        <w:t xml:space="preserve">appear </w:t>
      </w:r>
      <w:r w:rsidRPr="00FB36B7">
        <w:rPr>
          <w:sz w:val="22"/>
          <w:szCs w:val="22"/>
        </w:rPr>
        <w:t xml:space="preserve">here but </w:t>
      </w:r>
      <w:proofErr w:type="gramStart"/>
      <w:r w:rsidRPr="00FB36B7">
        <w:rPr>
          <w:sz w:val="22"/>
          <w:szCs w:val="22"/>
        </w:rPr>
        <w:t>are reported</w:t>
      </w:r>
      <w:proofErr w:type="gramEnd"/>
      <w:r w:rsidRPr="00FB36B7">
        <w:rPr>
          <w:sz w:val="22"/>
          <w:szCs w:val="22"/>
        </w:rPr>
        <w:t xml:space="preserve"> in the MMA weekly and monthly reports</w:t>
      </w:r>
      <w:r w:rsidR="00D5701B">
        <w:rPr>
          <w:sz w:val="22"/>
          <w:szCs w:val="22"/>
        </w:rPr>
        <w:t xml:space="preserve"> for more active traders.</w:t>
      </w:r>
      <w:r w:rsidRPr="00FB36B7">
        <w:rPr>
          <w:sz w:val="22"/>
          <w:szCs w:val="22"/>
        </w:rPr>
        <w:t xml:space="preserve"> These will more often correspond with major or trading cycle lows and highs, which more aggressive traders can use to time short-term trades.</w:t>
      </w:r>
    </w:p>
    <w:p w14:paraId="7526F332" w14:textId="77777777" w:rsidR="00DA50C0" w:rsidRDefault="00DA50C0" w:rsidP="001A43FA">
      <w:pPr>
        <w:jc w:val="both"/>
        <w:rPr>
          <w:sz w:val="22"/>
          <w:szCs w:val="22"/>
        </w:rPr>
      </w:pPr>
    </w:p>
    <w:p w14:paraId="05CF3DD0" w14:textId="00C0E2E4" w:rsidR="00DA50C0" w:rsidRPr="00FB36B7" w:rsidRDefault="00DA50C0" w:rsidP="001A43FA">
      <w:pPr>
        <w:jc w:val="both"/>
        <w:rPr>
          <w:sz w:val="22"/>
          <w:szCs w:val="22"/>
        </w:rPr>
      </w:pPr>
      <w:r>
        <w:rPr>
          <w:sz w:val="22"/>
          <w:szCs w:val="22"/>
        </w:rPr>
        <w:tab/>
        <w:t>Of the 1</w:t>
      </w:r>
      <w:r w:rsidR="001B774A">
        <w:rPr>
          <w:sz w:val="22"/>
          <w:szCs w:val="22"/>
        </w:rPr>
        <w:t>7</w:t>
      </w:r>
      <w:r>
        <w:rPr>
          <w:sz w:val="22"/>
          <w:szCs w:val="22"/>
        </w:rPr>
        <w:t xml:space="preserve"> CRDs given last year, </w:t>
      </w:r>
      <w:r w:rsidR="00306C76">
        <w:rPr>
          <w:sz w:val="22"/>
          <w:szCs w:val="22"/>
        </w:rPr>
        <w:t xml:space="preserve">as of this writing, </w:t>
      </w:r>
      <w:proofErr w:type="gramStart"/>
      <w:r w:rsidR="001B774A">
        <w:rPr>
          <w:sz w:val="22"/>
          <w:szCs w:val="22"/>
        </w:rPr>
        <w:t>15</w:t>
      </w:r>
      <w:proofErr w:type="gramEnd"/>
      <w:r>
        <w:rPr>
          <w:sz w:val="22"/>
          <w:szCs w:val="22"/>
        </w:rPr>
        <w:t xml:space="preserve"> </w:t>
      </w:r>
      <w:r w:rsidR="00CA31F6">
        <w:rPr>
          <w:sz w:val="22"/>
          <w:szCs w:val="22"/>
        </w:rPr>
        <w:t>coincided</w:t>
      </w:r>
      <w:r>
        <w:rPr>
          <w:sz w:val="22"/>
          <w:szCs w:val="22"/>
        </w:rPr>
        <w:t xml:space="preserve"> to an important reversal.</w:t>
      </w:r>
      <w:r w:rsidR="005C0C1B">
        <w:rPr>
          <w:sz w:val="22"/>
          <w:szCs w:val="22"/>
        </w:rPr>
        <w:t xml:space="preserve"> Of these, </w:t>
      </w:r>
      <w:proofErr w:type="gramStart"/>
      <w:r w:rsidR="00306C76">
        <w:rPr>
          <w:sz w:val="22"/>
          <w:szCs w:val="22"/>
        </w:rPr>
        <w:t>many</w:t>
      </w:r>
      <w:proofErr w:type="gramEnd"/>
      <w:r w:rsidR="00306C76">
        <w:rPr>
          <w:sz w:val="22"/>
          <w:szCs w:val="22"/>
        </w:rPr>
        <w:t xml:space="preserve"> were primary cycle highs or lows within three trading days (one was four  days off)</w:t>
      </w:r>
      <w:r w:rsidR="001B774A">
        <w:rPr>
          <w:sz w:val="22"/>
          <w:szCs w:val="22"/>
        </w:rPr>
        <w:t>, including the yearly low of April 7 and yearly high of November 4.</w:t>
      </w:r>
    </w:p>
    <w:p w14:paraId="326AE728" w14:textId="77777777" w:rsidR="001A43FA" w:rsidRPr="005C0C1B" w:rsidRDefault="001A43FA" w:rsidP="001A43FA">
      <w:pPr>
        <w:rPr>
          <w:b/>
          <w:bCs/>
          <w:sz w:val="22"/>
          <w:szCs w:val="22"/>
        </w:rPr>
      </w:pPr>
    </w:p>
    <w:p w14:paraId="053C4903" w14:textId="431947A0" w:rsidR="001B774A" w:rsidRDefault="001B774A" w:rsidP="001B774A">
      <w:pPr>
        <w:jc w:val="both"/>
        <w:rPr>
          <w:rFonts w:eastAsia="Calibri"/>
          <w:b/>
          <w:sz w:val="22"/>
          <w:szCs w:val="22"/>
        </w:rPr>
      </w:pPr>
      <w:r>
        <w:rPr>
          <w:rFonts w:eastAsia="Calibri"/>
          <w:b/>
          <w:sz w:val="22"/>
          <w:szCs w:val="22"/>
        </w:rPr>
        <w:t>January 16–19</w:t>
      </w:r>
    </w:p>
    <w:p w14:paraId="427B40A2" w14:textId="48491298" w:rsidR="001B774A" w:rsidRDefault="001B774A" w:rsidP="001B774A">
      <w:pPr>
        <w:jc w:val="both"/>
        <w:rPr>
          <w:rFonts w:eastAsia="Calibri"/>
          <w:b/>
          <w:sz w:val="22"/>
          <w:szCs w:val="22"/>
        </w:rPr>
      </w:pPr>
      <w:r>
        <w:rPr>
          <w:rFonts w:eastAsia="Calibri"/>
          <w:b/>
          <w:sz w:val="22"/>
          <w:szCs w:val="22"/>
        </w:rPr>
        <w:t>February 6</w:t>
      </w:r>
    </w:p>
    <w:p w14:paraId="74C9A9D7" w14:textId="77777777" w:rsidR="001B774A" w:rsidRDefault="001B774A" w:rsidP="001B774A">
      <w:pPr>
        <w:jc w:val="both"/>
        <w:rPr>
          <w:rFonts w:eastAsia="Calibri"/>
          <w:b/>
          <w:sz w:val="22"/>
          <w:szCs w:val="22"/>
        </w:rPr>
      </w:pPr>
      <w:r>
        <w:rPr>
          <w:rFonts w:eastAsia="Calibri"/>
          <w:b/>
          <w:sz w:val="22"/>
          <w:szCs w:val="22"/>
        </w:rPr>
        <w:t>February 27–March 1</w:t>
      </w:r>
    </w:p>
    <w:p w14:paraId="649518D7" w14:textId="0BE9C63F" w:rsidR="001B774A" w:rsidRDefault="001B774A" w:rsidP="001B774A">
      <w:pPr>
        <w:jc w:val="both"/>
        <w:rPr>
          <w:rFonts w:eastAsia="Calibri"/>
          <w:b/>
          <w:sz w:val="22"/>
          <w:szCs w:val="22"/>
        </w:rPr>
      </w:pPr>
      <w:r>
        <w:rPr>
          <w:rFonts w:eastAsia="Calibri"/>
          <w:b/>
          <w:sz w:val="22"/>
          <w:szCs w:val="22"/>
        </w:rPr>
        <w:t>March 6-9</w:t>
      </w:r>
    </w:p>
    <w:p w14:paraId="59B1CB4F" w14:textId="77777777" w:rsidR="001B774A" w:rsidRDefault="001B774A" w:rsidP="001B774A">
      <w:pPr>
        <w:jc w:val="both"/>
        <w:rPr>
          <w:rFonts w:eastAsia="Calibri"/>
          <w:b/>
          <w:sz w:val="22"/>
          <w:szCs w:val="22"/>
        </w:rPr>
      </w:pPr>
      <w:r>
        <w:rPr>
          <w:rFonts w:eastAsia="Calibri"/>
          <w:b/>
          <w:sz w:val="22"/>
          <w:szCs w:val="22"/>
        </w:rPr>
        <w:t>April 24–27</w:t>
      </w:r>
    </w:p>
    <w:p w14:paraId="14D188B8" w14:textId="792411B2" w:rsidR="001B774A" w:rsidRDefault="001B774A" w:rsidP="001B774A">
      <w:pPr>
        <w:jc w:val="both"/>
        <w:rPr>
          <w:rFonts w:eastAsia="Calibri"/>
          <w:b/>
          <w:sz w:val="22"/>
          <w:szCs w:val="22"/>
        </w:rPr>
      </w:pPr>
      <w:r>
        <w:rPr>
          <w:rFonts w:eastAsia="Calibri"/>
          <w:b/>
          <w:sz w:val="22"/>
          <w:szCs w:val="22"/>
        </w:rPr>
        <w:t xml:space="preserve">May </w:t>
      </w:r>
      <w:r>
        <w:rPr>
          <w:rFonts w:eastAsia="Calibri"/>
          <w:b/>
          <w:sz w:val="22"/>
          <w:szCs w:val="22"/>
        </w:rPr>
        <w:t>29</w:t>
      </w:r>
    </w:p>
    <w:p w14:paraId="4576A75A" w14:textId="1E749B00" w:rsidR="001B774A" w:rsidRDefault="001B774A" w:rsidP="001B774A">
      <w:pPr>
        <w:jc w:val="both"/>
        <w:rPr>
          <w:rFonts w:eastAsia="Calibri"/>
          <w:b/>
          <w:sz w:val="22"/>
          <w:szCs w:val="22"/>
        </w:rPr>
      </w:pPr>
      <w:r>
        <w:rPr>
          <w:rFonts w:eastAsia="Calibri"/>
          <w:b/>
          <w:sz w:val="22"/>
          <w:szCs w:val="22"/>
        </w:rPr>
        <w:lastRenderedPageBreak/>
        <w:t>July 17–20 (</w:t>
      </w:r>
      <w:r>
        <w:rPr>
          <w:rFonts w:eastAsia="Calibri"/>
          <w:b/>
          <w:sz w:val="22"/>
          <w:szCs w:val="22"/>
        </w:rPr>
        <w:t>allow a week</w:t>
      </w:r>
      <w:r>
        <w:rPr>
          <w:rFonts w:eastAsia="Calibri"/>
          <w:b/>
          <w:sz w:val="22"/>
          <w:szCs w:val="22"/>
        </w:rPr>
        <w:t>)</w:t>
      </w:r>
    </w:p>
    <w:p w14:paraId="73FEFD7C" w14:textId="46A2A86C" w:rsidR="001B774A" w:rsidRDefault="001B774A" w:rsidP="001B774A">
      <w:pPr>
        <w:jc w:val="both"/>
        <w:rPr>
          <w:rFonts w:eastAsia="Calibri"/>
          <w:b/>
          <w:sz w:val="22"/>
          <w:szCs w:val="22"/>
        </w:rPr>
      </w:pPr>
      <w:r>
        <w:rPr>
          <w:rFonts w:eastAsia="Calibri"/>
          <w:b/>
          <w:sz w:val="22"/>
          <w:szCs w:val="22"/>
        </w:rPr>
        <w:t>August 14–17  (</w:t>
      </w:r>
      <w:r>
        <w:rPr>
          <w:rFonts w:eastAsia="Calibri"/>
          <w:b/>
          <w:sz w:val="22"/>
          <w:szCs w:val="22"/>
        </w:rPr>
        <w:t>all up to one week later)</w:t>
      </w:r>
    </w:p>
    <w:p w14:paraId="184F7D6D" w14:textId="77777777" w:rsidR="001B774A" w:rsidRDefault="001B774A" w:rsidP="001B774A">
      <w:pPr>
        <w:jc w:val="both"/>
        <w:rPr>
          <w:rFonts w:eastAsia="Calibri"/>
          <w:b/>
          <w:sz w:val="22"/>
          <w:szCs w:val="22"/>
        </w:rPr>
      </w:pPr>
      <w:r>
        <w:rPr>
          <w:rFonts w:eastAsia="Calibri"/>
          <w:b/>
          <w:sz w:val="22"/>
          <w:szCs w:val="22"/>
        </w:rPr>
        <w:t>September 4–7 (holiday, allow 1 week orb)</w:t>
      </w:r>
    </w:p>
    <w:p w14:paraId="3C8B9058" w14:textId="2184BC76" w:rsidR="001B774A" w:rsidRDefault="001B774A" w:rsidP="001B774A">
      <w:pPr>
        <w:jc w:val="both"/>
        <w:rPr>
          <w:rFonts w:eastAsia="Calibri"/>
          <w:b/>
          <w:sz w:val="22"/>
          <w:szCs w:val="22"/>
        </w:rPr>
      </w:pPr>
      <w:r>
        <w:rPr>
          <w:rFonts w:eastAsia="Calibri"/>
          <w:b/>
          <w:sz w:val="22"/>
          <w:szCs w:val="22"/>
        </w:rPr>
        <w:t xml:space="preserve">October </w:t>
      </w:r>
      <w:r w:rsidR="00FC6352">
        <w:rPr>
          <w:rFonts w:eastAsia="Calibri"/>
          <w:b/>
          <w:sz w:val="22"/>
          <w:szCs w:val="22"/>
        </w:rPr>
        <w:t>7</w:t>
      </w:r>
    </w:p>
    <w:p w14:paraId="0E25E6F4" w14:textId="7DF1D6F1" w:rsidR="00FC6352" w:rsidRDefault="00FC6352" w:rsidP="001B774A">
      <w:pPr>
        <w:jc w:val="both"/>
        <w:rPr>
          <w:rFonts w:eastAsia="Calibri"/>
          <w:b/>
          <w:sz w:val="22"/>
          <w:szCs w:val="22"/>
        </w:rPr>
      </w:pPr>
      <w:r>
        <w:rPr>
          <w:rFonts w:eastAsia="Calibri"/>
          <w:b/>
          <w:sz w:val="22"/>
          <w:szCs w:val="22"/>
        </w:rPr>
        <w:t>November 13-16</w:t>
      </w:r>
    </w:p>
    <w:p w14:paraId="512D6053" w14:textId="33505552" w:rsidR="001B774A" w:rsidRDefault="001B774A" w:rsidP="001B774A">
      <w:pPr>
        <w:jc w:val="both"/>
        <w:rPr>
          <w:rFonts w:eastAsia="Calibri"/>
          <w:b/>
          <w:sz w:val="22"/>
          <w:szCs w:val="22"/>
        </w:rPr>
      </w:pPr>
      <w:r>
        <w:rPr>
          <w:rFonts w:eastAsia="Calibri"/>
          <w:b/>
          <w:sz w:val="22"/>
          <w:szCs w:val="22"/>
        </w:rPr>
        <w:t xml:space="preserve">December </w:t>
      </w:r>
      <w:r w:rsidR="00FC6352">
        <w:rPr>
          <w:rFonts w:eastAsia="Calibri"/>
          <w:b/>
          <w:sz w:val="22"/>
          <w:szCs w:val="22"/>
        </w:rPr>
        <w:t>10</w:t>
      </w:r>
      <w:r>
        <w:rPr>
          <w:rFonts w:eastAsia="Calibri"/>
          <w:b/>
          <w:sz w:val="22"/>
          <w:szCs w:val="22"/>
        </w:rPr>
        <w:tab/>
        <w:t>(allow 5-day orb)</w:t>
      </w:r>
    </w:p>
    <w:p w14:paraId="200F354E" w14:textId="54D5409E" w:rsidR="00551DA6" w:rsidRDefault="00551DA6" w:rsidP="001B774A">
      <w:pPr>
        <w:jc w:val="both"/>
        <w:rPr>
          <w:iCs/>
          <w:sz w:val="22"/>
          <w:szCs w:val="22"/>
        </w:rPr>
      </w:pPr>
    </w:p>
    <w:p w14:paraId="7D81B374" w14:textId="77777777" w:rsidR="00551DA6" w:rsidRPr="00551DA6" w:rsidRDefault="00551DA6" w:rsidP="00551DA6">
      <w:pPr>
        <w:jc w:val="both"/>
        <w:rPr>
          <w:bCs/>
          <w:i/>
          <w:iCs/>
          <w:sz w:val="18"/>
          <w:szCs w:val="18"/>
        </w:rPr>
      </w:pPr>
      <w:r w:rsidRPr="00551DA6">
        <w:rPr>
          <w:i/>
          <w:iCs/>
          <w:sz w:val="18"/>
          <w:szCs w:val="18"/>
          <w:u w:val="single"/>
        </w:rPr>
        <w:t>Disclaimer and using this information properly</w:t>
      </w:r>
      <w:r w:rsidRPr="00551DA6">
        <w:rPr>
          <w:i/>
          <w:iCs/>
          <w:sz w:val="18"/>
          <w:szCs w:val="18"/>
        </w:rPr>
        <w:t xml:space="preserve">: </w:t>
      </w:r>
    </w:p>
    <w:p w14:paraId="73CE76FA" w14:textId="77777777" w:rsidR="00551DA6" w:rsidRPr="00551DA6" w:rsidRDefault="00551DA6" w:rsidP="00551DA6">
      <w:pPr>
        <w:jc w:val="both"/>
        <w:rPr>
          <w:i/>
          <w:iCs/>
          <w:sz w:val="18"/>
          <w:szCs w:val="18"/>
        </w:rPr>
      </w:pPr>
    </w:p>
    <w:p w14:paraId="52B74F2D" w14:textId="77777777" w:rsidR="00551DA6" w:rsidRPr="00551DA6" w:rsidRDefault="00551DA6" w:rsidP="00551DA6">
      <w:pPr>
        <w:jc w:val="both"/>
        <w:rPr>
          <w:bCs/>
          <w:i/>
          <w:iCs/>
          <w:sz w:val="18"/>
          <w:szCs w:val="18"/>
        </w:rPr>
      </w:pPr>
      <w:r w:rsidRPr="00551DA6">
        <w:rPr>
          <w:i/>
          <w:iCs/>
          <w:sz w:val="18"/>
          <w:szCs w:val="18"/>
        </w:rPr>
        <w:t xml:space="preserve">These comments </w:t>
      </w:r>
      <w:proofErr w:type="gramStart"/>
      <w:r w:rsidRPr="00551DA6">
        <w:rPr>
          <w:i/>
          <w:iCs/>
          <w:sz w:val="18"/>
          <w:szCs w:val="18"/>
        </w:rPr>
        <w:t>are given</w:t>
      </w:r>
      <w:proofErr w:type="gramEnd"/>
      <w:r w:rsidRPr="00551DA6">
        <w:rPr>
          <w:bCs/>
          <w:i/>
          <w:iCs/>
          <w:sz w:val="18"/>
          <w:szCs w:val="18"/>
        </w:rPr>
        <w:t xml:space="preserve"> to serve as a guideline for traders and investors. Comments and/or recommendations are based upon prices at the end of the day, week, month, or year. Traders </w:t>
      </w:r>
      <w:proofErr w:type="gramStart"/>
      <w:r w:rsidRPr="00551DA6">
        <w:rPr>
          <w:bCs/>
          <w:i/>
          <w:iCs/>
          <w:sz w:val="18"/>
          <w:szCs w:val="18"/>
        </w:rPr>
        <w:t>are advised</w:t>
      </w:r>
      <w:proofErr w:type="gramEnd"/>
      <w:r w:rsidRPr="00551DA6">
        <w:rPr>
          <w:bCs/>
          <w:i/>
          <w:iCs/>
          <w:sz w:val="18"/>
          <w:szCs w:val="18"/>
        </w:rPr>
        <w:t xml:space="preserve"> to use these only as guidelines - and use our most recent analysis (daily, weekly, or monthly) to establish positions in directions of comments given, so long as those support/resistance (entrance) areas look favorable according to our most recent analysis as well. As market conditions change frequently and require constant modifications and even outlooks, no guarantees </w:t>
      </w:r>
      <w:proofErr w:type="gramStart"/>
      <w:r w:rsidRPr="00551DA6">
        <w:rPr>
          <w:bCs/>
          <w:i/>
          <w:iCs/>
          <w:sz w:val="18"/>
          <w:szCs w:val="18"/>
        </w:rPr>
        <w:t>are made</w:t>
      </w:r>
      <w:proofErr w:type="gramEnd"/>
      <w:r w:rsidRPr="00551DA6">
        <w:rPr>
          <w:bCs/>
          <w:i/>
          <w:iCs/>
          <w:sz w:val="18"/>
          <w:szCs w:val="18"/>
        </w:rPr>
        <w:t xml:space="preserve"> for accuracy. </w:t>
      </w:r>
    </w:p>
    <w:p w14:paraId="5D656303" w14:textId="77777777" w:rsidR="00551DA6" w:rsidRPr="00551DA6" w:rsidRDefault="00551DA6" w:rsidP="00551DA6">
      <w:pPr>
        <w:jc w:val="both"/>
        <w:rPr>
          <w:i/>
          <w:iCs/>
          <w:sz w:val="18"/>
          <w:szCs w:val="18"/>
        </w:rPr>
      </w:pPr>
    </w:p>
    <w:p w14:paraId="159458FD" w14:textId="77777777" w:rsidR="00551DA6" w:rsidRPr="00551DA6" w:rsidRDefault="00551DA6" w:rsidP="00551DA6">
      <w:pPr>
        <w:jc w:val="both"/>
        <w:rPr>
          <w:i/>
          <w:iCs/>
          <w:sz w:val="18"/>
          <w:szCs w:val="18"/>
        </w:rPr>
      </w:pPr>
      <w:r w:rsidRPr="00551DA6">
        <w:rPr>
          <w:i/>
          <w:iCs/>
          <w:sz w:val="18"/>
          <w:szCs w:val="18"/>
        </w:rPr>
        <w:t xml:space="preserve">Information </w:t>
      </w:r>
      <w:proofErr w:type="gramStart"/>
      <w:r w:rsidRPr="00551DA6">
        <w:rPr>
          <w:i/>
          <w:iCs/>
          <w:sz w:val="18"/>
          <w:szCs w:val="18"/>
        </w:rPr>
        <w:t>is provided</w:t>
      </w:r>
      <w:proofErr w:type="gramEnd"/>
      <w:r w:rsidRPr="00551DA6">
        <w:rPr>
          <w:i/>
          <w:iCs/>
          <w:sz w:val="18"/>
          <w:szCs w:val="18"/>
        </w:rPr>
        <w:t xml:space="preserve"> herein with sincere intent and according to our own studies and methodologies. </w:t>
      </w:r>
    </w:p>
    <w:p w14:paraId="77268ECA" w14:textId="77777777" w:rsidR="00551DA6" w:rsidRPr="00551DA6" w:rsidRDefault="00551DA6" w:rsidP="00551DA6">
      <w:pPr>
        <w:jc w:val="both"/>
        <w:rPr>
          <w:i/>
          <w:iCs/>
          <w:sz w:val="18"/>
          <w:szCs w:val="18"/>
        </w:rPr>
      </w:pPr>
    </w:p>
    <w:p w14:paraId="1D40D405" w14:textId="77777777" w:rsidR="00551DA6" w:rsidRPr="00551DA6" w:rsidRDefault="00551DA6" w:rsidP="00551DA6">
      <w:pPr>
        <w:jc w:val="both"/>
        <w:rPr>
          <w:bCs/>
          <w:i/>
          <w:iCs/>
          <w:sz w:val="18"/>
          <w:szCs w:val="18"/>
        </w:rPr>
      </w:pPr>
      <w:r w:rsidRPr="00551DA6">
        <w:rPr>
          <w:bCs/>
          <w:i/>
          <w:iCs/>
          <w:sz w:val="18"/>
          <w:szCs w:val="18"/>
        </w:rPr>
        <w:t xml:space="preserve">All trading, including futures and options on futures trading, involves risk of large losses as well as large gains, and the reader is solely responsible for any actions taken in markets, and neither the author nor publisher assumes any responsibility whatsoever for the reader's decisions. Futures or options trading </w:t>
      </w:r>
      <w:proofErr w:type="gramStart"/>
      <w:r w:rsidRPr="00551DA6">
        <w:rPr>
          <w:bCs/>
          <w:i/>
          <w:iCs/>
          <w:sz w:val="18"/>
          <w:szCs w:val="18"/>
        </w:rPr>
        <w:t>are considered</w:t>
      </w:r>
      <w:proofErr w:type="gramEnd"/>
      <w:r w:rsidRPr="00551DA6">
        <w:rPr>
          <w:bCs/>
          <w:i/>
          <w:iCs/>
          <w:sz w:val="18"/>
          <w:szCs w:val="18"/>
        </w:rPr>
        <w:t xml:space="preserve"> </w:t>
      </w:r>
      <w:proofErr w:type="gramStart"/>
      <w:r w:rsidRPr="00551DA6">
        <w:rPr>
          <w:bCs/>
          <w:i/>
          <w:iCs/>
          <w:sz w:val="18"/>
          <w:szCs w:val="18"/>
        </w:rPr>
        <w:t>high risk</w:t>
      </w:r>
      <w:proofErr w:type="gramEnd"/>
      <w:r w:rsidRPr="00551DA6">
        <w:rPr>
          <w:bCs/>
          <w:i/>
          <w:iCs/>
          <w:sz w:val="18"/>
          <w:szCs w:val="18"/>
        </w:rPr>
        <w:t>.</w:t>
      </w:r>
    </w:p>
    <w:sectPr w:rsidR="00551DA6" w:rsidRPr="00551DA6" w:rsidSect="00360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6BD4"/>
    <w:multiLevelType w:val="hybridMultilevel"/>
    <w:tmpl w:val="CDC4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7B0079"/>
    <w:multiLevelType w:val="hybridMultilevel"/>
    <w:tmpl w:val="BA18C316"/>
    <w:lvl w:ilvl="0" w:tplc="D24C4EC2">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285E4E10"/>
    <w:multiLevelType w:val="hybridMultilevel"/>
    <w:tmpl w:val="DF76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474C4"/>
    <w:multiLevelType w:val="hybridMultilevel"/>
    <w:tmpl w:val="A8B83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B7600"/>
    <w:multiLevelType w:val="hybridMultilevel"/>
    <w:tmpl w:val="82D0D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DB2633"/>
    <w:multiLevelType w:val="hybridMultilevel"/>
    <w:tmpl w:val="679A1C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5BD5D9B"/>
    <w:multiLevelType w:val="hybridMultilevel"/>
    <w:tmpl w:val="92AA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1F0C49"/>
    <w:multiLevelType w:val="hybridMultilevel"/>
    <w:tmpl w:val="0FA8FFDE"/>
    <w:lvl w:ilvl="0" w:tplc="04090005">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num w:numId="1" w16cid:durableId="969824208">
    <w:abstractNumId w:val="5"/>
  </w:num>
  <w:num w:numId="2" w16cid:durableId="207377320">
    <w:abstractNumId w:val="1"/>
  </w:num>
  <w:num w:numId="3" w16cid:durableId="1926377626">
    <w:abstractNumId w:val="3"/>
  </w:num>
  <w:num w:numId="4" w16cid:durableId="387187413">
    <w:abstractNumId w:val="6"/>
  </w:num>
  <w:num w:numId="5" w16cid:durableId="1912620445">
    <w:abstractNumId w:val="4"/>
  </w:num>
  <w:num w:numId="6" w16cid:durableId="529799672">
    <w:abstractNumId w:val="0"/>
  </w:num>
  <w:num w:numId="7" w16cid:durableId="1791123188">
    <w:abstractNumId w:val="2"/>
  </w:num>
  <w:num w:numId="8" w16cid:durableId="1550070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17"/>
    <w:rsid w:val="00007C24"/>
    <w:rsid w:val="000135D5"/>
    <w:rsid w:val="00023319"/>
    <w:rsid w:val="000409FF"/>
    <w:rsid w:val="00043549"/>
    <w:rsid w:val="00047E8C"/>
    <w:rsid w:val="000739B5"/>
    <w:rsid w:val="00073CE8"/>
    <w:rsid w:val="00085620"/>
    <w:rsid w:val="00087951"/>
    <w:rsid w:val="00087E4F"/>
    <w:rsid w:val="000921B1"/>
    <w:rsid w:val="000926EC"/>
    <w:rsid w:val="000A29A5"/>
    <w:rsid w:val="000B0760"/>
    <w:rsid w:val="000B2604"/>
    <w:rsid w:val="000B57DF"/>
    <w:rsid w:val="000C05BE"/>
    <w:rsid w:val="000D22F9"/>
    <w:rsid w:val="000E6A59"/>
    <w:rsid w:val="000F17C1"/>
    <w:rsid w:val="000F4CC9"/>
    <w:rsid w:val="00104543"/>
    <w:rsid w:val="001062BB"/>
    <w:rsid w:val="00111983"/>
    <w:rsid w:val="00112D15"/>
    <w:rsid w:val="00115DB8"/>
    <w:rsid w:val="001204B9"/>
    <w:rsid w:val="001317A9"/>
    <w:rsid w:val="00132866"/>
    <w:rsid w:val="00133EB8"/>
    <w:rsid w:val="001369A1"/>
    <w:rsid w:val="001425D6"/>
    <w:rsid w:val="001457CF"/>
    <w:rsid w:val="00147B23"/>
    <w:rsid w:val="001647D7"/>
    <w:rsid w:val="0016657D"/>
    <w:rsid w:val="001735E2"/>
    <w:rsid w:val="00174789"/>
    <w:rsid w:val="00175515"/>
    <w:rsid w:val="001762CD"/>
    <w:rsid w:val="0017726B"/>
    <w:rsid w:val="00184B8E"/>
    <w:rsid w:val="00192ED7"/>
    <w:rsid w:val="00193E14"/>
    <w:rsid w:val="00194EB9"/>
    <w:rsid w:val="001A03D0"/>
    <w:rsid w:val="001A343C"/>
    <w:rsid w:val="001A3CA9"/>
    <w:rsid w:val="001A43FA"/>
    <w:rsid w:val="001B3FFE"/>
    <w:rsid w:val="001B5266"/>
    <w:rsid w:val="001B774A"/>
    <w:rsid w:val="001C589E"/>
    <w:rsid w:val="001E18D8"/>
    <w:rsid w:val="0020391E"/>
    <w:rsid w:val="002557BC"/>
    <w:rsid w:val="00255BB5"/>
    <w:rsid w:val="002652E8"/>
    <w:rsid w:val="00266D32"/>
    <w:rsid w:val="00267A17"/>
    <w:rsid w:val="00273468"/>
    <w:rsid w:val="002A119D"/>
    <w:rsid w:val="002C48AE"/>
    <w:rsid w:val="002C5648"/>
    <w:rsid w:val="002D042D"/>
    <w:rsid w:val="002D249A"/>
    <w:rsid w:val="002D5CE8"/>
    <w:rsid w:val="002E155A"/>
    <w:rsid w:val="002E214E"/>
    <w:rsid w:val="002F4290"/>
    <w:rsid w:val="002F5C39"/>
    <w:rsid w:val="002F688F"/>
    <w:rsid w:val="002F7186"/>
    <w:rsid w:val="00300071"/>
    <w:rsid w:val="003006F0"/>
    <w:rsid w:val="003025DD"/>
    <w:rsid w:val="00304968"/>
    <w:rsid w:val="00306C76"/>
    <w:rsid w:val="003071F6"/>
    <w:rsid w:val="003110D2"/>
    <w:rsid w:val="00311F2B"/>
    <w:rsid w:val="00316F20"/>
    <w:rsid w:val="003303E0"/>
    <w:rsid w:val="00331E50"/>
    <w:rsid w:val="003336E0"/>
    <w:rsid w:val="00334D55"/>
    <w:rsid w:val="0035735D"/>
    <w:rsid w:val="00360660"/>
    <w:rsid w:val="003670EF"/>
    <w:rsid w:val="003832F9"/>
    <w:rsid w:val="0038363F"/>
    <w:rsid w:val="003905EF"/>
    <w:rsid w:val="00395DA4"/>
    <w:rsid w:val="003A0995"/>
    <w:rsid w:val="003A10DB"/>
    <w:rsid w:val="003B0D80"/>
    <w:rsid w:val="003C0E97"/>
    <w:rsid w:val="003C2E24"/>
    <w:rsid w:val="003C32E2"/>
    <w:rsid w:val="003C37B6"/>
    <w:rsid w:val="003D2DE0"/>
    <w:rsid w:val="003F44BA"/>
    <w:rsid w:val="003F6C81"/>
    <w:rsid w:val="00400F8B"/>
    <w:rsid w:val="00410741"/>
    <w:rsid w:val="0041310E"/>
    <w:rsid w:val="0042707E"/>
    <w:rsid w:val="00431D7A"/>
    <w:rsid w:val="00435EFE"/>
    <w:rsid w:val="00443A81"/>
    <w:rsid w:val="00443FB9"/>
    <w:rsid w:val="0044453E"/>
    <w:rsid w:val="00450DFD"/>
    <w:rsid w:val="00454D0D"/>
    <w:rsid w:val="004714C5"/>
    <w:rsid w:val="0048034E"/>
    <w:rsid w:val="004A3504"/>
    <w:rsid w:val="004A4F51"/>
    <w:rsid w:val="004A5060"/>
    <w:rsid w:val="004B03EF"/>
    <w:rsid w:val="004B17EF"/>
    <w:rsid w:val="004B6EBD"/>
    <w:rsid w:val="004C0E6E"/>
    <w:rsid w:val="004C2D6B"/>
    <w:rsid w:val="004C50E7"/>
    <w:rsid w:val="004D21F6"/>
    <w:rsid w:val="004D2DA1"/>
    <w:rsid w:val="004D423D"/>
    <w:rsid w:val="004D4A7C"/>
    <w:rsid w:val="004D52A0"/>
    <w:rsid w:val="004D7594"/>
    <w:rsid w:val="004E5047"/>
    <w:rsid w:val="004E7E53"/>
    <w:rsid w:val="004F4311"/>
    <w:rsid w:val="00502D80"/>
    <w:rsid w:val="00507C17"/>
    <w:rsid w:val="00520720"/>
    <w:rsid w:val="005264D0"/>
    <w:rsid w:val="00534189"/>
    <w:rsid w:val="005347E8"/>
    <w:rsid w:val="0053480E"/>
    <w:rsid w:val="00535A01"/>
    <w:rsid w:val="0053671C"/>
    <w:rsid w:val="005400D6"/>
    <w:rsid w:val="005404B2"/>
    <w:rsid w:val="00542A77"/>
    <w:rsid w:val="005502FB"/>
    <w:rsid w:val="00551DA6"/>
    <w:rsid w:val="00554536"/>
    <w:rsid w:val="00556303"/>
    <w:rsid w:val="0057089D"/>
    <w:rsid w:val="00570D78"/>
    <w:rsid w:val="00575640"/>
    <w:rsid w:val="00593F59"/>
    <w:rsid w:val="00594562"/>
    <w:rsid w:val="00595397"/>
    <w:rsid w:val="005A26D2"/>
    <w:rsid w:val="005A59E2"/>
    <w:rsid w:val="005B3152"/>
    <w:rsid w:val="005B3C4F"/>
    <w:rsid w:val="005B735F"/>
    <w:rsid w:val="005C0C1B"/>
    <w:rsid w:val="005D203F"/>
    <w:rsid w:val="005D6C7D"/>
    <w:rsid w:val="005D7DC3"/>
    <w:rsid w:val="005D7E1F"/>
    <w:rsid w:val="005E6964"/>
    <w:rsid w:val="005E7050"/>
    <w:rsid w:val="005F2FB8"/>
    <w:rsid w:val="00603A1D"/>
    <w:rsid w:val="00617730"/>
    <w:rsid w:val="00620CB5"/>
    <w:rsid w:val="00623CEB"/>
    <w:rsid w:val="00627AD4"/>
    <w:rsid w:val="0063195E"/>
    <w:rsid w:val="00636B81"/>
    <w:rsid w:val="00637844"/>
    <w:rsid w:val="006419B2"/>
    <w:rsid w:val="00644099"/>
    <w:rsid w:val="0065221B"/>
    <w:rsid w:val="00654128"/>
    <w:rsid w:val="00657122"/>
    <w:rsid w:val="00664725"/>
    <w:rsid w:val="006833CC"/>
    <w:rsid w:val="00692B6C"/>
    <w:rsid w:val="006A048F"/>
    <w:rsid w:val="006A098D"/>
    <w:rsid w:val="006B232F"/>
    <w:rsid w:val="006B2755"/>
    <w:rsid w:val="006B37D5"/>
    <w:rsid w:val="006B3CD9"/>
    <w:rsid w:val="006C373A"/>
    <w:rsid w:val="006C47AC"/>
    <w:rsid w:val="006E2EAA"/>
    <w:rsid w:val="006E6E46"/>
    <w:rsid w:val="006F077F"/>
    <w:rsid w:val="006F6ADF"/>
    <w:rsid w:val="00701A9C"/>
    <w:rsid w:val="00706612"/>
    <w:rsid w:val="00725FEA"/>
    <w:rsid w:val="00727728"/>
    <w:rsid w:val="00730052"/>
    <w:rsid w:val="00735F28"/>
    <w:rsid w:val="00741299"/>
    <w:rsid w:val="007418AA"/>
    <w:rsid w:val="0074322F"/>
    <w:rsid w:val="00747BE9"/>
    <w:rsid w:val="007B778E"/>
    <w:rsid w:val="007B7878"/>
    <w:rsid w:val="007B78FF"/>
    <w:rsid w:val="007C0275"/>
    <w:rsid w:val="007C47D0"/>
    <w:rsid w:val="007D3BAA"/>
    <w:rsid w:val="007D3DF7"/>
    <w:rsid w:val="008051BC"/>
    <w:rsid w:val="00807755"/>
    <w:rsid w:val="00812F00"/>
    <w:rsid w:val="00817441"/>
    <w:rsid w:val="00820157"/>
    <w:rsid w:val="00825A58"/>
    <w:rsid w:val="00825B2E"/>
    <w:rsid w:val="00837603"/>
    <w:rsid w:val="00851A09"/>
    <w:rsid w:val="0085456B"/>
    <w:rsid w:val="0085778E"/>
    <w:rsid w:val="008577D2"/>
    <w:rsid w:val="00866ADA"/>
    <w:rsid w:val="00870579"/>
    <w:rsid w:val="0088419C"/>
    <w:rsid w:val="008936A1"/>
    <w:rsid w:val="008A3905"/>
    <w:rsid w:val="008C2220"/>
    <w:rsid w:val="008C496C"/>
    <w:rsid w:val="008D5B75"/>
    <w:rsid w:val="008E02BF"/>
    <w:rsid w:val="008E0F00"/>
    <w:rsid w:val="008E7D39"/>
    <w:rsid w:val="008F0F6B"/>
    <w:rsid w:val="00911FC0"/>
    <w:rsid w:val="00913FAC"/>
    <w:rsid w:val="0091643C"/>
    <w:rsid w:val="00925600"/>
    <w:rsid w:val="00933A11"/>
    <w:rsid w:val="00945B23"/>
    <w:rsid w:val="00950B5F"/>
    <w:rsid w:val="00952CA8"/>
    <w:rsid w:val="00954485"/>
    <w:rsid w:val="00956BE1"/>
    <w:rsid w:val="00961735"/>
    <w:rsid w:val="009634AF"/>
    <w:rsid w:val="00971891"/>
    <w:rsid w:val="00973233"/>
    <w:rsid w:val="00975A88"/>
    <w:rsid w:val="00982B17"/>
    <w:rsid w:val="00984C74"/>
    <w:rsid w:val="00995A9C"/>
    <w:rsid w:val="009A7019"/>
    <w:rsid w:val="009B2ABA"/>
    <w:rsid w:val="009B3777"/>
    <w:rsid w:val="009B6315"/>
    <w:rsid w:val="009C61AC"/>
    <w:rsid w:val="009D05A9"/>
    <w:rsid w:val="009D2701"/>
    <w:rsid w:val="009D34AC"/>
    <w:rsid w:val="009D3CCC"/>
    <w:rsid w:val="009E23F1"/>
    <w:rsid w:val="009E4529"/>
    <w:rsid w:val="009E6015"/>
    <w:rsid w:val="009E7287"/>
    <w:rsid w:val="00A00C88"/>
    <w:rsid w:val="00A10898"/>
    <w:rsid w:val="00A12530"/>
    <w:rsid w:val="00A30E56"/>
    <w:rsid w:val="00A3600A"/>
    <w:rsid w:val="00A41F8E"/>
    <w:rsid w:val="00A43949"/>
    <w:rsid w:val="00A4725F"/>
    <w:rsid w:val="00A52512"/>
    <w:rsid w:val="00A62269"/>
    <w:rsid w:val="00A70FFA"/>
    <w:rsid w:val="00A83A8E"/>
    <w:rsid w:val="00A8415B"/>
    <w:rsid w:val="00A8661B"/>
    <w:rsid w:val="00A87FDA"/>
    <w:rsid w:val="00AA34DF"/>
    <w:rsid w:val="00AA54BA"/>
    <w:rsid w:val="00AB0FD8"/>
    <w:rsid w:val="00AD1507"/>
    <w:rsid w:val="00AE4B5C"/>
    <w:rsid w:val="00AF7580"/>
    <w:rsid w:val="00B113EB"/>
    <w:rsid w:val="00B30A27"/>
    <w:rsid w:val="00B33F0E"/>
    <w:rsid w:val="00B4194F"/>
    <w:rsid w:val="00B4226A"/>
    <w:rsid w:val="00B4623F"/>
    <w:rsid w:val="00B70E8E"/>
    <w:rsid w:val="00B71A43"/>
    <w:rsid w:val="00B7359B"/>
    <w:rsid w:val="00B76F38"/>
    <w:rsid w:val="00B932C5"/>
    <w:rsid w:val="00B95286"/>
    <w:rsid w:val="00B96B6D"/>
    <w:rsid w:val="00BA1208"/>
    <w:rsid w:val="00BA2126"/>
    <w:rsid w:val="00BA7BAF"/>
    <w:rsid w:val="00BB37CA"/>
    <w:rsid w:val="00BC1ED5"/>
    <w:rsid w:val="00BC4365"/>
    <w:rsid w:val="00BC67ED"/>
    <w:rsid w:val="00BD3683"/>
    <w:rsid w:val="00BD50F7"/>
    <w:rsid w:val="00BD6927"/>
    <w:rsid w:val="00BF0219"/>
    <w:rsid w:val="00BF2F81"/>
    <w:rsid w:val="00BF56DB"/>
    <w:rsid w:val="00BF65A0"/>
    <w:rsid w:val="00C13F08"/>
    <w:rsid w:val="00C1529A"/>
    <w:rsid w:val="00C272B5"/>
    <w:rsid w:val="00C27846"/>
    <w:rsid w:val="00C41149"/>
    <w:rsid w:val="00C53565"/>
    <w:rsid w:val="00C56BAA"/>
    <w:rsid w:val="00C6101B"/>
    <w:rsid w:val="00C61D31"/>
    <w:rsid w:val="00C64F50"/>
    <w:rsid w:val="00C732C8"/>
    <w:rsid w:val="00C7721A"/>
    <w:rsid w:val="00C7742B"/>
    <w:rsid w:val="00C8435B"/>
    <w:rsid w:val="00CA31F6"/>
    <w:rsid w:val="00CA3769"/>
    <w:rsid w:val="00CB2E00"/>
    <w:rsid w:val="00CE6A9A"/>
    <w:rsid w:val="00CF1E0F"/>
    <w:rsid w:val="00CF4A65"/>
    <w:rsid w:val="00D21AD7"/>
    <w:rsid w:val="00D237FC"/>
    <w:rsid w:val="00D44B67"/>
    <w:rsid w:val="00D5701B"/>
    <w:rsid w:val="00D60D8A"/>
    <w:rsid w:val="00D72B1C"/>
    <w:rsid w:val="00D9770E"/>
    <w:rsid w:val="00DA0B94"/>
    <w:rsid w:val="00DA287B"/>
    <w:rsid w:val="00DA50C0"/>
    <w:rsid w:val="00DB211D"/>
    <w:rsid w:val="00DB3A71"/>
    <w:rsid w:val="00DB5FE5"/>
    <w:rsid w:val="00DB6C81"/>
    <w:rsid w:val="00DC15D1"/>
    <w:rsid w:val="00DC1CD7"/>
    <w:rsid w:val="00DC5C2A"/>
    <w:rsid w:val="00DE61BC"/>
    <w:rsid w:val="00DE7169"/>
    <w:rsid w:val="00E027D5"/>
    <w:rsid w:val="00E10D21"/>
    <w:rsid w:val="00E17019"/>
    <w:rsid w:val="00E32FE7"/>
    <w:rsid w:val="00E456FC"/>
    <w:rsid w:val="00E45896"/>
    <w:rsid w:val="00E45DAA"/>
    <w:rsid w:val="00E46797"/>
    <w:rsid w:val="00E56378"/>
    <w:rsid w:val="00E56B66"/>
    <w:rsid w:val="00E752F5"/>
    <w:rsid w:val="00E84368"/>
    <w:rsid w:val="00E868AF"/>
    <w:rsid w:val="00EA6A22"/>
    <w:rsid w:val="00EB1103"/>
    <w:rsid w:val="00EC263A"/>
    <w:rsid w:val="00EC2C02"/>
    <w:rsid w:val="00EC73F6"/>
    <w:rsid w:val="00ED1994"/>
    <w:rsid w:val="00ED2B22"/>
    <w:rsid w:val="00EE2B25"/>
    <w:rsid w:val="00EF152E"/>
    <w:rsid w:val="00EF42C6"/>
    <w:rsid w:val="00F1366D"/>
    <w:rsid w:val="00F1370E"/>
    <w:rsid w:val="00F14308"/>
    <w:rsid w:val="00F164C4"/>
    <w:rsid w:val="00F20CA9"/>
    <w:rsid w:val="00F27334"/>
    <w:rsid w:val="00F37D40"/>
    <w:rsid w:val="00F42221"/>
    <w:rsid w:val="00F47256"/>
    <w:rsid w:val="00F47E17"/>
    <w:rsid w:val="00F50FDD"/>
    <w:rsid w:val="00F547EC"/>
    <w:rsid w:val="00F6310C"/>
    <w:rsid w:val="00F70828"/>
    <w:rsid w:val="00F90A7C"/>
    <w:rsid w:val="00F955A3"/>
    <w:rsid w:val="00F956D6"/>
    <w:rsid w:val="00F968F0"/>
    <w:rsid w:val="00FA0260"/>
    <w:rsid w:val="00FB684E"/>
    <w:rsid w:val="00FC4C8F"/>
    <w:rsid w:val="00FC6352"/>
    <w:rsid w:val="00FF7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F7066"/>
  <w15:docId w15:val="{BEBEFD5B-17F3-496B-8A7C-3A79B275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2B22"/>
    <w:rPr>
      <w:sz w:val="24"/>
      <w:szCs w:val="24"/>
    </w:rPr>
  </w:style>
  <w:style w:type="paragraph" w:styleId="Heading1">
    <w:name w:val="heading 1"/>
    <w:basedOn w:val="Normal"/>
    <w:next w:val="Normal"/>
    <w:link w:val="Heading1Char"/>
    <w:qFormat/>
    <w:rsid w:val="009E4529"/>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07C17"/>
    <w:rPr>
      <w:b/>
      <w:szCs w:val="20"/>
    </w:rPr>
  </w:style>
  <w:style w:type="character" w:customStyle="1" w:styleId="BodyTextChar">
    <w:name w:val="Body Text Char"/>
    <w:link w:val="BodyText"/>
    <w:rsid w:val="00507C17"/>
    <w:rPr>
      <w:b/>
      <w:sz w:val="24"/>
    </w:rPr>
  </w:style>
  <w:style w:type="character" w:styleId="Hyperlink">
    <w:name w:val="Hyperlink"/>
    <w:uiPriority w:val="99"/>
    <w:rsid w:val="00507C17"/>
    <w:rPr>
      <w:color w:val="0000FF"/>
      <w:u w:val="single"/>
    </w:rPr>
  </w:style>
  <w:style w:type="paragraph" w:styleId="BalloonText">
    <w:name w:val="Balloon Text"/>
    <w:basedOn w:val="Normal"/>
    <w:link w:val="BalloonTextChar"/>
    <w:rsid w:val="00507C17"/>
    <w:rPr>
      <w:rFonts w:ascii="Tahoma" w:hAnsi="Tahoma" w:cs="Tahoma"/>
      <w:sz w:val="16"/>
      <w:szCs w:val="16"/>
    </w:rPr>
  </w:style>
  <w:style w:type="character" w:customStyle="1" w:styleId="BalloonTextChar">
    <w:name w:val="Balloon Text Char"/>
    <w:link w:val="BalloonText"/>
    <w:rsid w:val="00507C17"/>
    <w:rPr>
      <w:rFonts w:ascii="Tahoma" w:hAnsi="Tahoma" w:cs="Tahoma"/>
      <w:sz w:val="16"/>
      <w:szCs w:val="16"/>
    </w:rPr>
  </w:style>
  <w:style w:type="character" w:customStyle="1" w:styleId="Heading1Char">
    <w:name w:val="Heading 1 Char"/>
    <w:link w:val="Heading1"/>
    <w:rsid w:val="009E4529"/>
    <w:rPr>
      <w:rFonts w:ascii="Cambria" w:eastAsia="Times New Roman" w:hAnsi="Cambria" w:cs="Times New Roman"/>
      <w:b/>
      <w:bCs/>
      <w:kern w:val="32"/>
      <w:sz w:val="32"/>
      <w:szCs w:val="32"/>
    </w:rPr>
  </w:style>
  <w:style w:type="paragraph" w:styleId="TOCHeading">
    <w:name w:val="TOC Heading"/>
    <w:basedOn w:val="Heading1"/>
    <w:next w:val="Normal"/>
    <w:uiPriority w:val="39"/>
    <w:unhideWhenUsed/>
    <w:qFormat/>
    <w:rsid w:val="009E4529"/>
    <w:pPr>
      <w:keepLines/>
      <w:spacing w:before="480" w:after="0" w:line="276" w:lineRule="auto"/>
      <w:outlineLvl w:val="9"/>
    </w:pPr>
    <w:rPr>
      <w:color w:val="365F91"/>
      <w:kern w:val="0"/>
      <w:sz w:val="28"/>
      <w:szCs w:val="28"/>
      <w:lang w:eastAsia="ja-JP"/>
    </w:rPr>
  </w:style>
  <w:style w:type="paragraph" w:styleId="TOC2">
    <w:name w:val="toc 2"/>
    <w:basedOn w:val="Normal"/>
    <w:next w:val="Normal"/>
    <w:autoRedefine/>
    <w:uiPriority w:val="39"/>
    <w:unhideWhenUsed/>
    <w:qFormat/>
    <w:rsid w:val="009E4529"/>
    <w:pPr>
      <w:spacing w:after="100" w:line="276" w:lineRule="auto"/>
      <w:ind w:left="220"/>
    </w:pPr>
    <w:rPr>
      <w:rFonts w:ascii="Calibri" w:eastAsia="MS Mincho" w:hAnsi="Calibri" w:cs="Arial"/>
      <w:sz w:val="22"/>
      <w:szCs w:val="22"/>
      <w:lang w:eastAsia="ja-JP"/>
    </w:rPr>
  </w:style>
  <w:style w:type="paragraph" w:styleId="TOC1">
    <w:name w:val="toc 1"/>
    <w:basedOn w:val="Normal"/>
    <w:next w:val="Normal"/>
    <w:autoRedefine/>
    <w:uiPriority w:val="39"/>
    <w:unhideWhenUsed/>
    <w:qFormat/>
    <w:rsid w:val="009E4529"/>
    <w:pPr>
      <w:spacing w:after="100" w:line="276" w:lineRule="auto"/>
    </w:pPr>
    <w:rPr>
      <w:rFonts w:ascii="Calibri" w:eastAsia="MS Mincho" w:hAnsi="Calibri" w:cs="Arial"/>
      <w:sz w:val="22"/>
      <w:szCs w:val="22"/>
      <w:lang w:eastAsia="ja-JP"/>
    </w:rPr>
  </w:style>
  <w:style w:type="paragraph" w:styleId="TOC3">
    <w:name w:val="toc 3"/>
    <w:basedOn w:val="Normal"/>
    <w:next w:val="Normal"/>
    <w:autoRedefine/>
    <w:uiPriority w:val="39"/>
    <w:unhideWhenUsed/>
    <w:qFormat/>
    <w:rsid w:val="009E4529"/>
    <w:pPr>
      <w:spacing w:after="100" w:line="276" w:lineRule="auto"/>
      <w:ind w:left="440"/>
    </w:pPr>
    <w:rPr>
      <w:rFonts w:ascii="Calibri" w:eastAsia="MS Mincho" w:hAnsi="Calibri" w:cs="Arial"/>
      <w:sz w:val="22"/>
      <w:szCs w:val="22"/>
      <w:lang w:eastAsia="ja-JP"/>
    </w:rPr>
  </w:style>
  <w:style w:type="table" w:styleId="TableGrid">
    <w:name w:val="Table Grid"/>
    <w:basedOn w:val="TableNormal"/>
    <w:uiPriority w:val="39"/>
    <w:rsid w:val="001457CF"/>
    <w:rPr>
      <w:rFonts w:asciiTheme="minorHAnsi" w:eastAsiaTheme="minorHAnsi" w:hAnsiTheme="minorHAnsi" w:cstheme="minorBidi"/>
      <w:kern w:val="2"/>
      <w:sz w:val="24"/>
      <w:szCs w:val="24"/>
      <w:lang w:val="uk-U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F55CC-043E-4317-BBF3-9593249F3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8</Pages>
  <Words>3189</Words>
  <Characters>18179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dc:creator>
  <cp:keywords/>
  <cp:lastModifiedBy>Raymond Merriman</cp:lastModifiedBy>
  <cp:revision>15</cp:revision>
  <cp:lastPrinted>2024-11-27T22:41:00Z</cp:lastPrinted>
  <dcterms:created xsi:type="dcterms:W3CDTF">2025-11-29T14:53:00Z</dcterms:created>
  <dcterms:modified xsi:type="dcterms:W3CDTF">2025-11-30T20:17:00Z</dcterms:modified>
</cp:coreProperties>
</file>