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a1a2e"/>
          <w:sz w:val="56"/>
          <w:szCs w:val="56"/>
        </w:rPr>
        <w:t xml:space="preserve">STRIVO</w:t>
      </w:r>
    </w:p>
    <w:p>
      <w:pPr>
        <w:spacing w:after="40" w:before="120"/>
        <w:jc w:val="center"/>
      </w:pPr>
      <w:r>
        <w:rPr>
          <w:b/>
          <w:bCs/>
          <w:color w:val="463366"/>
          <w:sz w:val="32"/>
          <w:szCs w:val="32"/>
        </w:rPr>
        <w:t xml:space="preserve">App Flow Document</w:t>
      </w:r>
    </w:p>
    <w:p>
      <w:pPr>
        <w:spacing w:after="700"/>
        <w:jc w:val="center"/>
      </w:pPr>
      <w:r>
        <w:rPr>
          <w:i/>
          <w:iCs/>
          <w:color w:val="6b6b6b"/>
          <w:sz w:val="22"/>
          <w:szCs w:val="22"/>
        </w:rPr>
        <w:t xml:space="preserve">Step-by-step user, admin, and system journeys through Strivo</w:t>
      </w:r>
    </w:p>
    <w:p>
      <w:pPr>
        <w:spacing w:after="80"/>
        <w:jc w:val="center"/>
      </w:pPr>
      <w:r>
        <w:rPr>
          <w:sz w:val="21"/>
          <w:szCs w:val="21"/>
        </w:rPr>
        <w:t xml:space="preserve">strivo.ai — AI-powered personal career memory app</w:t>
      </w:r>
    </w:p>
    <w:p>
      <w:pPr>
        <w:spacing w:after="700"/>
        <w:jc w:val="center"/>
      </w:pPr>
      <w:r>
        <w:rPr>
          <w:sz w:val="21"/>
          <w:szCs w:val="21"/>
        </w:rPr>
        <w:t xml:space="preserve">Prepared: August 23, 2026</w:t>
      </w:r>
    </w:p>
    <w:p>
      <w:pPr>
        <w:spacing w:after="160" w:line="276"/>
      </w:pPr>
      <w:r>
        <w:rPr>
          <w:i/>
          <w:iCs/>
          <w:color w:val="555555"/>
          <w:sz w:val="21"/>
          <w:szCs w:val="21"/>
        </w:rPr>
        <w:t xml:space="preserve">Each flow below traces an actual code path (route + API sequence) rather than an idealized diagram — branch points and fallback behavior are called out explicitly where the implementation handles them.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A. Web Sign-In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Visitor lands on strivo.ai (marketing) or is redirected to /login when visiting a protected app route while unauthenticated.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User clicks “Continue with Google.”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NextAuth's GoogleProvider handles the OAuth exchange with Google.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On first sign-in, the signIn callback (src/lib/auth.ts) checks for an existing user by email; if none exists, a new user row is created with a 2-month trial and a random, never-verified placeholder password_hash (see PRD/TRD).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 JWT session is issued; the user is redirected into the app (/home).</w:t>
      </w:r>
    </w:p>
    <w:p>
      <w:pPr>
        <w:pStyle w:val="Heading1"/>
        <w:spacing w:after="160" w:before="360"/>
      </w:pPr>
      <w:r>
        <w:t xml:space="preserve">B. Native App Sign-In (system-browser bridge)</w:t>
      </w:r>
    </w:p>
    <w:p>
      <w:pPr>
        <w:spacing w:after="160" w:line="276"/>
      </w:pPr>
      <w:r>
        <w:rPr>
          <w:i/>
          <w:iCs/>
          <w:sz w:val="21"/>
          <w:szCs w:val="21"/>
        </w:rPr>
        <w:t xml:space="preserve">Google blocks its sign-in screen inside embedded WebViews, so the native flow differs from the web flow: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Capacitor app opens /mobile-google-start, which launches the device's system browser (via @capacitor/browser) at the same Google sign-in flow as the web.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Sign-in completes in the system browser, producing a normal NextAuth session there.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server creates a mobile_auth_tokens row: a 24-byte random token, tied to that browser session's cookie value, expiring in 2 minutes and single-use.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system browser redirects to a deep link the native app has registered (Android intent filter).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app's own WebView loads /api/auth/mobile-consume with the token; the server marks the token used and returns the session cookie value.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WebView's cookie jar now carries a valid session — the user is signed in inside the native app without ever seeing a second Google prompt inside the WebView itself.</w:t>
      </w:r>
    </w:p>
    <w:p>
      <w:pPr>
        <w:pStyle w:val="Heading1"/>
        <w:spacing w:after="160" w:before="360"/>
      </w:pPr>
      <w:r>
        <w:t xml:space="preserve">C. Record → Memory Creation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User opens Record and chooses voice, file upload, or typed text.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Voice: recorded in-app, capped at 10 minutes per stretch, then sent for transcription.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File: PDF / DOCX / PPTX / XLSX up to 2MB is uploaded; text is extracted server-side (rejected above the size cap before any parsing happens).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resulting transcript is sent to OpenAI to generate: title, summary, category, tags, key points, and an English “search gloss.”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An embedding vector is generated from the transcript/gloss and stored alongside the memory row.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memory appears immediately in the Memories library, tagged with its source (voice / file / text) and category.</w:t>
      </w:r>
    </w:p>
    <w:p>
      <w:pPr>
        <w:pStyle w:val="Heading1"/>
        <w:spacing w:after="160" w:before="360"/>
      </w:pPr>
      <w:r>
        <w:t xml:space="preserve">D. Chat / AI Retrieval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User picks a Home Quick Action (pre-titled chat, category pre-set) or opens/continues an existing chat.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User sends a message.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message is rate-limit-checked (per-user and per-IP).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query is translated to English (if needed) so it can be matched against the English search-gloss layer.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Semantic retrieval runs: the query is embedded and compared (cosine similarity) against this user's memory embeddings only.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Matches must clear a relevance threshold (§ TRD, Retrieval Pipeline) — weak/ambiguous matches are filtered out rather than shown.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If no memory has an embedding yet, or the embedding call fails, the app falls back to plain keyword-overlap search over the user's memories.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top matches (up to 5) are passed to the AI as grounding context; the AI's system prompt asks a clarifying question first if the request is ambiguous, otherwise answers directly.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response renders in the chat with basic markdown formatting, and the “Relevant Memories” panel shows exactly which memories fed that specific answer.</w:t>
      </w:r>
    </w:p>
    <w:p>
      <w:pPr>
        <w:pStyle w:val="Heading1"/>
        <w:spacing w:after="160" w:before="360"/>
      </w:pPr>
      <w:r>
        <w:t xml:space="preserve">E. Subscription / Trial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On signup, trial_ends_at is set to createdAt + 2 months and subscription_status = 'trial'.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Settings → Subscription shows days remaining, computed live from trial_ends_at rather than a stored countdown.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When trial_ends_at passes with no active status, the computed status becomes 'expired' (this value is never stored — always derived).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Real payment collection is not yet wired up: the admin panel currently has a manual override to set a user's status to 'trial' or 'active' by hand. The intended production path (not yet built) is Google Play Billing via a RevenueCat integration — see the Roadmap document.</w:t>
      </w:r>
    </w:p>
    <w:p>
      <w:pPr>
        <w:pStyle w:val="Heading1"/>
        <w:spacing w:after="160" w:before="360"/>
      </w:pPr>
      <w:r>
        <w:t xml:space="preserve">F. Admin Broadcast “Nudge”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Founder logs into /admin (password, optionally + TOTP code).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Composes a nudge (headline + message), selects an audience segment (all users / missed-today / inactive), and sends.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previous active nudge (if any) is deactivated; the new one becomes the single active nudge.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For native users with a registered push token, a real push notification is sent via Firebase Cloud Messaging, deep-linking to /record.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Any user opening Home who hasn't already dismissed this specific nudge id sees it there too; dismissing it is remembered per-user (dismissed_nudge_id).</w:t>
      </w:r>
    </w:p>
    <w:p>
      <w:pPr>
        <w:pStyle w:val="Heading1"/>
        <w:spacing w:after="160" w:before="360"/>
      </w:pPr>
      <w:r>
        <w:t xml:space="preserve">G. Admin Login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Founder submits password (+ TOTP code, if ADMIN_TOTP_SECRET is configured) at /admin/login.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Rate limit checked (8 attempts / 15 minutes per IP).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Password and TOTP are both checked; a wrong password or a wrong/missing code produce an identical error message, so a correct password can't be distinguished from an incorrect one via the response.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On success, a signed session cookie (distinct from the regular user session) is issued, valid 30 days.</w:t>
      </w:r>
    </w:p>
    <w:p>
      <w:pPr>
        <w:pStyle w:val="Heading1"/>
        <w:spacing w:after="160" w:before="360"/>
      </w:pPr>
      <w:r>
        <w:t xml:space="preserve">H. Account Deletion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User selects “Delete account” in Settings → Profile.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account-deletion endpoint removes the user row.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Foreign-key ON DELETE CASCADE constraints automatically remove every dependent row — memories, chats, messages, push tokens, support messages — in the same operation, with no orphaned data left behind.</w:t>
      </w:r>
    </w:p>
    <w:p>
      <w:pPr>
        <w:pStyle w:val="Heading1"/>
        <w:spacing w:after="160" w:before="360"/>
      </w:pPr>
      <w:r>
        <w:t xml:space="preserve">I. Automated Blog Publishing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 daily scheduled task (external to the app itself) triggers at a fixed time.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It calls POST /api/blog/publish, authenticated via a request header carrying BLOG_AUTOMATION_SECRET — a credential separate from the founder's admin password.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 new blog_posts row is created (title, category, excerpt, HTML body, SEO metadata, per-post Open Graph image).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post immediately appears at /blog and /blog/[slug], and is included in the sitemap.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  <w:lvl w:ilvl="1" w15:tentative="1">
      <w:start w:val="1"/>
      <w:numFmt w:val="lowerLetter"/>
      <w:lvlText w:val="%2.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5cf6" w:sz="8" w:space="4"/>
      </w:pBdr>
      <w:spacing w:after="160" w:before="36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d2140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6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2026-08-23T05:58:06.277Z</dcterms:created>
  <dcterms:modified xsi:type="dcterms:W3CDTF">2026-08-23T05:58:06.278Z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