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a1a2e"/>
          <w:sz w:val="56"/>
          <w:szCs w:val="56"/>
        </w:rPr>
        <w:t xml:space="preserve">STRIVO</w:t>
      </w:r>
    </w:p>
    <w:p>
      <w:pPr>
        <w:spacing w:after="40" w:before="120"/>
        <w:jc w:val="center"/>
      </w:pPr>
      <w:r>
        <w:rPr>
          <w:b/>
          <w:bCs/>
          <w:color w:val="463366"/>
          <w:sz w:val="32"/>
          <w:szCs w:val="32"/>
        </w:rPr>
        <w:t xml:space="preserve">Backend Schema Document</w:t>
      </w:r>
    </w:p>
    <w:p>
      <w:pPr>
        <w:spacing w:after="700"/>
        <w:jc w:val="center"/>
      </w:pPr>
      <w:r>
        <w:rPr>
          <w:i/>
          <w:iCs/>
          <w:color w:val="6b6b6b"/>
          <w:sz w:val="22"/>
          <w:szCs w:val="22"/>
        </w:rPr>
        <w:t xml:space="preserve">Complete database schema, relationships, and data-layer conventions</w:t>
      </w:r>
    </w:p>
    <w:p>
      <w:pPr>
        <w:spacing w:after="80"/>
        <w:jc w:val="center"/>
      </w:pPr>
      <w:r>
        <w:rPr>
          <w:sz w:val="21"/>
          <w:szCs w:val="21"/>
        </w:rPr>
        <w:t xml:space="preserve">strivo.ai — AI-powered personal career memory app</w:t>
      </w:r>
    </w:p>
    <w:p>
      <w:pPr>
        <w:spacing w:after="700"/>
        <w:jc w:val="center"/>
      </w:pPr>
      <w:r>
        <w:rPr>
          <w:sz w:val="21"/>
          <w:szCs w:val="21"/>
        </w:rPr>
        <w:t xml:space="preserve">Prepared: August 23, 2026</w:t>
      </w:r>
    </w:p>
    <w:p>
      <w:pPr>
        <w:spacing w:after="160" w:line="276"/>
      </w:pPr>
      <w:r>
        <w:rPr>
          <w:i/>
          <w:iCs/>
          <w:color w:val="555555"/>
          <w:sz w:val="21"/>
          <w:szCs w:val="21"/>
        </w:rPr>
        <w:t xml:space="preserve">Reflects lib/db.ts exactly, including incremental migrations applied after initial launch. Table and column names are given verbatim.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Database Engine &amp; Configuration</w:t>
      </w:r>
    </w:p>
    <w:p>
      <w:pPr>
        <w:spacing w:after="160" w:line="276"/>
      </w:pPr>
      <w:r>
        <w:rPr>
          <w:sz w:val="21"/>
          <w:szCs w:val="21"/>
        </w:rPr>
        <w:t xml:space="preserve">SQLite via Node's built-in node:sqlite module (DatabaseSync) — no native/compiled database driver dependency.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200"/>
      </w:tblGrid>
      <w:tr>
        <w:trPr>
          <w:tblHeader/>
        </w:trPr>
        <w:tc>
          <w:tcPr>
            <w:tcW w:type="dxa" w:w="24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Setting</w:t>
            </w:r>
          </w:p>
        </w:tc>
        <w:tc>
          <w:tcPr>
            <w:tcW w:type="dxa" w:w="22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52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journal_mode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Allows concurrent readers with one writer; required for the pm2 cluster (2 processes) to share the file safely.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synchronous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SQLite's own recommendation for WAL-mode DBs — syncs at checkpoints, not every write, without risking corruption.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Enforces referential integrity and enables ON DELETE CASCADE.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busy_timeout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5000 ms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Lets a writer that loses a brief race wait its turn instead of erroring immediately.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/>
      </w:pPr>
      <w:r>
        <w:t xml:space="preserve">2. Tables</w:t>
      </w:r>
    </w:p>
    <w:p>
      <w:pPr>
        <w:pStyle w:val="Heading2"/>
        <w:spacing w:after="120" w:before="260"/>
      </w:pPr>
      <w:r>
        <w:t xml:space="preserve">2.1 users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600"/>
      </w:tblGrid>
      <w:tr>
        <w:trPr>
          <w:tblHeader/>
        </w:trPr>
        <w:tc>
          <w:tcPr>
            <w:tcW w:type="dxa" w:w="22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30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PK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user_&lt;uuid-hex&gt;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first_name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last_name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 DEFAULT ''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 UNIQUE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Lowercased/trimmed before storage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Legacy column; holds an unused random value (see PRD/Security docs) — not a real credential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profile_image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profile picture URL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subscription_status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 DEFAULT 'trial'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'trial' | 'active' (expired is always computed, never stored)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trial_ends_at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timestamp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dismissed_nudge_id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post-launch; last nudge this user dismissed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app_version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post-launch; native app versionName, last reported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last_active_at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post-launch; last app-open ping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2"/>
        <w:spacing w:after="120" w:before="260"/>
      </w:pPr>
      <w:r>
        <w:t xml:space="preserve">2.2 memories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600"/>
      </w:tblGrid>
      <w:tr>
        <w:trPr>
          <w:tblHeader/>
        </w:trPr>
        <w:tc>
          <w:tcPr>
            <w:tcW w:type="dxa" w:w="22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30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PK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users(id) ON DELETE CASCADE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AI-generated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transcript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Raw captured text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summary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AI-generated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of the shared category taxonomy values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tags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AI-generated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JSON-encoded vector (OpenAI text-embedding-3-small)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metadata_status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 DEFAULT 'pending'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metadata generation state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 DEFAULT 'text'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'text' | 'voice' | file type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key_points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AI-generated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summary_feedback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search_text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post-launch; always-English gloss used for cross-language retrieval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Indexes: idx_memories_user(user_id), idx_memories_user_created(user_id, created_at).</w:t>
      </w:r>
    </w:p>
    <w:p>
      <w:pPr>
        <w:pStyle w:val="Heading2"/>
        <w:spacing w:after="120" w:before="260"/>
      </w:pPr>
      <w:r>
        <w:t xml:space="preserve">2.3 chats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600"/>
      </w:tblGrid>
      <w:tr>
        <w:trPr>
          <w:tblHeader/>
        </w:trPr>
        <w:tc>
          <w:tcPr>
            <w:tcW w:type="dxa" w:w="22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30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PK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users(id) ON DELETE CASCADE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 DEFAULT 'General'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Shared taxonomy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last_message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Denormalized preview for the chat list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memory_count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 NOT NULL DEFAULT 0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Denormalized count of memories referenced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Index: idx_chats_user(user_id).</w:t>
      </w:r>
    </w:p>
    <w:p>
      <w:pPr>
        <w:pStyle w:val="Heading2"/>
        <w:spacing w:after="120" w:before="260"/>
      </w:pPr>
      <w:r>
        <w:t xml:space="preserve">2.4 messages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600"/>
      </w:tblGrid>
      <w:tr>
        <w:trPr>
          <w:tblHeader/>
        </w:trPr>
        <w:tc>
          <w:tcPr>
            <w:tcW w:type="dxa" w:w="22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30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PK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chat_id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chats(id) ON DELETE CASCADE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users(id) ON DELETE CASCADE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sender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'user' | 'assistant'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retrieved_memories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 list of memory ids used for this specific answer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 DEFAULT 'sent'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Index: idx_messages_chat(chat_id).</w:t>
      </w:r>
    </w:p>
    <w:p>
      <w:pPr>
        <w:pStyle w:val="Heading2"/>
        <w:spacing w:after="120" w:before="260"/>
      </w:pPr>
      <w:r>
        <w:t xml:space="preserve">2.5 password_reset_tokens</w:t>
      </w:r>
    </w:p>
    <w:p>
      <w:pPr>
        <w:spacing w:after="160" w:line="276"/>
      </w:pPr>
      <w:r>
        <w:rPr>
          <w:sz w:val="21"/>
          <w:szCs w:val="21"/>
        </w:rPr>
        <w:t xml:space="preserve">Legacy table from the pre-Google-only auth system. No longer written to or read by any active code path (password reset is an inert 410 stub) — retained in the schema rather than dropped, with no functional effect.</w:t>
      </w:r>
    </w:p>
    <w:p>
      <w:pPr>
        <w:pStyle w:val="Heading2"/>
        <w:spacing w:after="120" w:before="260"/>
      </w:pPr>
      <w:r>
        <w:t xml:space="preserve">2.6 support_messages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600"/>
      </w:tblGrid>
      <w:tr>
        <w:trPr>
          <w:tblHeader/>
        </w:trPr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PK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users(id) ON DELETE CASCADE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email, subject, message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Submitted via Settings → Help &amp; Support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 DEFAULT 'new'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'new' | 'resolved', managed from /admin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t xml:space="preserve">2.7 mobile_auth_tokens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600"/>
      </w:tblGrid>
      <w:tr>
        <w:trPr>
          <w:tblHeader/>
        </w:trPr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PK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 UNIQUE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24-byte random hex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session_cookie_value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system-browser session being handed off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expires_at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minutes from creation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 NOT NULL DEFAULT 0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Single-use flag, set the moment the token is read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Powers the native app's system-browser sign-in bridge — see App Flow document, §B.</w:t>
      </w:r>
    </w:p>
    <w:p>
      <w:pPr>
        <w:pStyle w:val="Heading2"/>
        <w:spacing w:after="120" w:before="260"/>
      </w:pPr>
      <w:r>
        <w:t xml:space="preserve">2.8 nudges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600"/>
      </w:tblGrid>
      <w:tr>
        <w:trPr>
          <w:tblHeader/>
        </w:trPr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PK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 headline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message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 NOT NULL DEFAULT 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one row is ever active; creating a new one deactivates the previous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segment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 DEFAULT 'all'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post-launch; 'all' | 'missed-today' | 'inactive'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t xml:space="preserve">2.9 push_tokens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600"/>
      </w:tblGrid>
      <w:tr>
        <w:trPr>
          <w:tblHeader/>
        </w:trPr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PK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→ users(id) ON DELETE CASCADE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 UNIQUE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FCM device token; re-registering updates ownership rather than erroring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 DEFAULT 'android'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app_version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post-launch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Index: idx_push_tokens_user(user_id).</w:t>
      </w:r>
    </w:p>
    <w:p>
      <w:pPr>
        <w:pStyle w:val="Heading2"/>
        <w:spacing w:after="120" w:before="260"/>
      </w:pPr>
      <w:r>
        <w:t xml:space="preserve">2.10 blog_posts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600"/>
      </w:tblGrid>
      <w:tr>
        <w:trPr>
          <w:tblHeader/>
        </w:trPr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PK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slug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 UNIQUE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title, meta_title, meta_description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SEO fields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category, excerpt, content_html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keywords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Indexes: idx_blog_posts_created(created_at), idx_blog_posts_category(category). Written either by the founder (admin session) or the daily automation (BLOG_AUTOMATION_SECRET header).</w:t>
      </w:r>
    </w:p>
    <w:p>
      <w:pPr>
        <w:pStyle w:val="Heading2"/>
        <w:spacing w:after="120" w:before="260"/>
      </w:pPr>
      <w:r>
        <w:t xml:space="preserve">2.11 rate_limit_buckets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600"/>
      </w:tblGrid>
      <w:tr>
        <w:trPr>
          <w:tblHeader/>
        </w:trPr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PK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chat-message:&lt;userId&gt;, admin-login:&lt;ip&gt;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reset_at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timestamp; row is superseded once passed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Backs the fixed-window rate limiter — a shared, cluster-safe counter store rather than in-process memory. See Security Overview document for exact limits per endpoint.</w:t>
      </w:r>
    </w:p>
    <w:p>
      <w:pPr>
        <w:pStyle w:val="Heading1"/>
        <w:spacing w:after="160" w:before="360"/>
      </w:pPr>
      <w:r>
        <w:t xml:space="preserve">3. Relationships (Entity Overview)</w:t>
      </w:r>
    </w:p>
    <w:p>
      <w:pPr>
        <w:spacing w:after="160" w:line="276"/>
      </w:pPr>
      <w:r>
        <w:rPr>
          <w:sz w:val="21"/>
          <w:szCs w:val="21"/>
        </w:rPr>
        <w:t xml:space="preserve">users is the root entity every other user-owned table hangs off, always via ON DELETE CASCADE: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users (1) → (many) memories, chats, support_messages, push_tokens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chats (1) → (many) messages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memories are referenced indirectly from messages via the retrieved_memories JSON field, not a formal foreign key (an application-level, not schema-level, relationship)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mobile_auth_tokens, nudges, blog_posts, rate_limit_buckets, password_reset_tokens stand alone (not user-scoped in the schema sense — nudges/blog_posts are founder-authored broadcast content, not per-user data)</w:t>
      </w:r>
    </w:p>
    <w:p>
      <w:pPr>
        <w:pStyle w:val="Heading1"/>
        <w:spacing w:after="160" w:before="360"/>
      </w:pPr>
      <w:r>
        <w:t xml:space="preserve">4. Migration Convention</w:t>
      </w:r>
    </w:p>
    <w:p>
      <w:pPr>
        <w:spacing w:after="160" w:line="276"/>
      </w:pPr>
      <w:r>
        <w:rPr>
          <w:sz w:val="21"/>
          <w:szCs w:val="21"/>
        </w:rPr>
        <w:t xml:space="preserve">There is no formal migration framework (no Prisma/Drizzle migration files) — lib/db.ts runs an idempotent CREATE TABLE IF NOT EXISTS block for the full schema on every process start, followed by explicit PRAGMA table_info(...) checks that conditionally ALTER TABLE ADD COLUMN for anything introduced after initial launch. This is safe to run on every boot and requires no separate migration step during deploys. A small number of one-time UPDATE statements also run on every boot to backfill or correct data from past schema/taxonomy changes (e.g. trial length changes, category renames) — each is written to be a no-op once every row is already correct, so repeated execution is harmless.</w:t>
      </w:r>
    </w:p>
    <w:p>
      <w:pPr>
        <w:pStyle w:val="Heading1"/>
        <w:spacing w:after="160" w:before="360"/>
      </w:pPr>
      <w:r>
        <w:t xml:space="preserve">5. Query Construction</w:t>
      </w:r>
    </w:p>
    <w:p>
      <w:pPr>
        <w:spacing w:after="160" w:line="276"/>
      </w:pPr>
      <w:r>
        <w:rPr>
          <w:sz w:val="21"/>
          <w:szCs w:val="21"/>
        </w:rPr>
        <w:t xml:space="preserve">Every query in the codebase uses parameterized placeholders (?) via the driver's prepared-statement API. No raw string concatenation of user input into SQL exists anywhere in the codebase — see the Security Overview document, §8.2, for the audit finding.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40"/>
      </w:pPr>
    </w:lvl>
    <w:lvl w:ilvl="1" w15:tentative="1">
      <w:start w:val="1"/>
      <w:numFmt w:val="lowerLetter"/>
      <w:lvlText w:val="%2."/>
      <w:lvlJc w:val="left"/>
      <w:pPr>
        <w:ind w:left="7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5cf6" w:sz="8" w:space="4"/>
      </w:pBdr>
      <w:spacing w:after="160" w:before="360"/>
    </w:pPr>
    <w:rPr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d2140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4633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2026-08-23T05:58:06.645Z</dcterms:created>
  <dcterms:modified xsi:type="dcterms:W3CDTF">2026-08-23T05:58:06.646Z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