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a1a2e"/>
          <w:sz w:val="56"/>
          <w:szCs w:val="56"/>
        </w:rPr>
        <w:t xml:space="preserve">STRIVO</w:t>
      </w:r>
    </w:p>
    <w:p>
      <w:pPr>
        <w:spacing w:after="40" w:before="120"/>
        <w:jc w:val="center"/>
      </w:pPr>
      <w:r>
        <w:rPr>
          <w:b/>
          <w:bCs/>
          <w:color w:val="463366"/>
          <w:sz w:val="32"/>
          <w:szCs w:val="32"/>
        </w:rPr>
        <w:t xml:space="preserve">Technical Requirements Document (TRD)</w:t>
      </w:r>
    </w:p>
    <w:p>
      <w:pPr>
        <w:spacing w:after="700"/>
        <w:jc w:val="center"/>
      </w:pPr>
      <w:r>
        <w:rPr>
          <w:i/>
          <w:iCs/>
          <w:color w:val="6b6b6b"/>
          <w:sz w:val="22"/>
          <w:szCs w:val="22"/>
        </w:rPr>
        <w:t xml:space="preserve">Architecture, stack, integrations, and operating constraints</w:t>
      </w:r>
    </w:p>
    <w:p>
      <w:pPr>
        <w:spacing w:after="80"/>
        <w:jc w:val="center"/>
      </w:pPr>
      <w:r>
        <w:rPr>
          <w:sz w:val="21"/>
          <w:szCs w:val="21"/>
        </w:rPr>
        <w:t xml:space="preserve">strivo.ai — AI-powered personal career memory app</w:t>
      </w:r>
    </w:p>
    <w:p>
      <w:pPr>
        <w:spacing w:after="700"/>
        <w:jc w:val="center"/>
      </w:pPr>
      <w:r>
        <w:rPr>
          <w:sz w:val="21"/>
          <w:szCs w:val="21"/>
        </w:rPr>
        <w:t xml:space="preserve">Prepared: August 23, 2026</w:t>
      </w:r>
    </w:p>
    <w:p>
      <w:pPr>
        <w:spacing w:after="160" w:line="276"/>
      </w:pPr>
      <w:r>
        <w:rPr>
          <w:i/>
          <w:iCs/>
          <w:color w:val="555555"/>
          <w:sz w:val="21"/>
          <w:szCs w:val="21"/>
        </w:rPr>
        <w:t xml:space="preserve">Companion to the PRD. Security controls specifically are documented in full in the separate Strivo-Security-Overview.docx rather than duplicated here — this TRD focuses on architecture and non-functional requirements.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Technology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6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Framework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Next.js 16 (App Router, Turbopack build), React 19, TypeScript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NextAuth v4.24, Google OAuth provider only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SQLite via Node's built-in node:sqlite module (DatabaseSync), WAL mode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OpenAI API — chat completions + text embeddings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Styling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Tailwind CSS v4, theme-token driven design system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Native mobile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Capacitor (Android), live WebView pointed at the production web app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Firebase Cloud Messaging, via firebase-admin server SDK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Transactional email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 SES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 monitoring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Sentry (@sentry/nextjs)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 manager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pm2, cluster mode, 2 worker processes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Reverse proxy / TLS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Nginx + Let's Encrypt (Certbot)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 EC2 (single instance, production; a second independent instance for staging)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DNS / CDN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Vitest (55 tests as of this document)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/>
      </w:pPr>
      <w:r>
        <w:t xml:space="preserve">2. Architecture Overview</w:t>
      </w:r>
    </w:p>
    <w:p>
      <w:pPr>
        <w:spacing w:after="160" w:line="276"/>
      </w:pPr>
      <w:r>
        <w:rPr>
          <w:sz w:val="21"/>
          <w:szCs w:val="21"/>
        </w:rPr>
        <w:t xml:space="preserve">Strivo is a single Next.js application serving both the marketing site and the authenticated product — there is no separate backend service or API gateway. Every data-touching operation goes through a Next.js API route (src/app/api/**), which is the only code that talks to SQLite. Neither the browser nor the native app ever has direct database access.</w:t>
      </w:r>
    </w:p>
    <w:p>
      <w:pPr>
        <w:spacing w:after="160" w:line="276"/>
      </w:pPr>
      <w:r>
        <w:rPr>
          <w:sz w:val="21"/>
          <w:szCs w:val="21"/>
        </w:rPr>
        <w:t xml:space="preserve">The native Android app is not a separately-bundled build: Capacitor's config points its WebView directly at https://strivo.ai/app (server.url in capacitor.config.ts). This means ordinary web deploys reach native users immediately with no app-store resubmission — only native-only changes (icon, splash screen, permissions, deep-link handling, this URL itself) require a rebuild and Play Console submission.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Route separation: </w:t>
      </w:r>
      <w:r>
        <w:rPr>
          <w:sz w:val="21"/>
          <w:szCs w:val="21"/>
        </w:rPr>
        <w:t xml:space="preserve">strivo.ai's root is a public marketing page; the authenticated product lives under /app. This split was made deliberately so the root domain could serve SEO/marketing purposes independent of the logged-in product.</w:t>
      </w:r>
    </w:p>
    <w:p>
      <w:pPr>
        <w:pStyle w:val="Heading1"/>
        <w:spacing w:after="160" w:before="360"/>
      </w:pPr>
      <w:r>
        <w:t xml:space="preserve">3. AI / Retrieval Pipeline</w:t>
      </w:r>
    </w:p>
    <w:p>
      <w:pPr>
        <w:spacing w:after="160" w:line="276"/>
      </w:pPr>
      <w:r>
        <w:rPr>
          <w:sz w:val="21"/>
          <w:szCs w:val="21"/>
        </w:rPr>
        <w:t xml:space="preserve">Memory capture and retrieval follow this pipeline: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1.</w:t>
      </w:r>
      <w:r>
        <w:rPr>
          <w:sz w:val="21"/>
          <w:szCs w:val="21"/>
        </w:rPr>
        <w:t xml:space="preserve"> A voice recording, uploaded file, or typed text becomes a raw transcript.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2.</w:t>
      </w:r>
      <w:r>
        <w:rPr>
          <w:sz w:val="21"/>
          <w:szCs w:val="21"/>
        </w:rPr>
        <w:t xml:space="preserve"> OpenAI generates structured metadata from the transcript: title, summary, category, tags, key points, plus an always-English “search gloss” (used so non-English memories are still keyword-matchable against translated queries).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3.</w:t>
      </w:r>
      <w:r>
        <w:rPr>
          <w:sz w:val="21"/>
          <w:szCs w:val="21"/>
        </w:rPr>
        <w:t xml:space="preserve"> An embedding vector (OpenAI text-embedding-3-small) is generated and stored alongside the memory.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4.</w:t>
      </w:r>
      <w:r>
        <w:rPr>
          <w:sz w:val="21"/>
          <w:szCs w:val="21"/>
        </w:rPr>
        <w:t xml:space="preserve"> At query time, the user's question is first translated to English, then embedded; candidate memories are ranked by cosine similarity against the query embedding, scoped to that user's memories only.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5.</w:t>
      </w:r>
      <w:r>
        <w:rPr>
          <w:sz w:val="21"/>
          <w:szCs w:val="21"/>
        </w:rPr>
        <w:t xml:space="preserve"> A relevance gate filters weak matches: a memory needs either a high semantic score (&gt;0.45) alone, or a moderate score (&gt;0.3) plus at least one literal keyword in common with the query — tuned after observing that a looser threshold pulled in loosely-related memories.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6.</w:t>
      </w:r>
      <w:r>
        <w:rPr>
          <w:sz w:val="21"/>
          <w:szCs w:val="21"/>
        </w:rPr>
        <w:t xml:space="preserve"> If no memories have embeddings yet (or the embedding call fails), retrieval falls back to plain keyword-overlap scoring, so the app degrades gracefully rather than returning nothing.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7.</w:t>
      </w:r>
      <w:r>
        <w:rPr>
          <w:sz w:val="21"/>
          <w:szCs w:val="21"/>
        </w:rPr>
        <w:t xml:space="preserve"> The top-ranked memories (default: 5) are passed to the chat completion call as grounding context for the AI's answer.</w:t>
      </w:r>
    </w:p>
    <w:p>
      <w:pPr>
        <w:spacing w:after="160" w:line="276"/>
      </w:pPr>
      <w:r>
        <w:rPr>
          <w:sz w:val="21"/>
          <w:szCs w:val="21"/>
        </w:rPr>
        <w:t xml:space="preserve">This is intentionally not a dedicated vector database — cosine similarity is computed in-process over each user's own (typically small) memory set. This is an appropriate choice at current scale and would need reconsideration if per-user memory counts grew into the thousands.</w:t>
      </w:r>
    </w:p>
    <w:p>
      <w:pPr>
        <w:pStyle w:val="Heading1"/>
        <w:spacing w:after="160" w:before="360"/>
      </w:pPr>
      <w:r>
        <w:t xml:space="preserve">4. Non-Functional Requirements</w:t>
      </w:r>
    </w:p>
    <w:p>
      <w:pPr>
        <w:pStyle w:val="Heading2"/>
        <w:spacing w:after="120" w:before="260"/>
      </w:pPr>
      <w:r>
        <w:t xml:space="preserve">4.1 Availability</w:t>
      </w:r>
    </w:p>
    <w:p>
      <w:pPr>
        <w:spacing w:after="160" w:line="276"/>
      </w:pPr>
      <w:r>
        <w:rPr>
          <w:sz w:val="21"/>
          <w:szCs w:val="21"/>
        </w:rPr>
        <w:t xml:space="preserve">Single-instance hosting with no load-balanced failover. Deploys take the app offline for the duration of the build (~8-9 minutes) — a deliberate, documented tradeoff of a resource-constrained single small server, chosen over the recurring cost of a larger instance. Process-level resilience (a crashed request not taking the whole site down) is provided by pm2 cluster mode (2 workers) outside of deploy windows.</w:t>
      </w:r>
    </w:p>
    <w:p>
      <w:pPr>
        <w:pStyle w:val="Heading2"/>
        <w:spacing w:after="120" w:before="260"/>
      </w:pPr>
      <w:r>
        <w:t xml:space="preserve">4.2 Performance / cost controls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Every AI-cost-bearing endpoint is rate-limited per-user and per-IP (see the Security Overview document for exact limits).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Voice recordings are capped at 10 minutes per stretch; file uploads at 2MB — both bound worst-case processing cost and time per request.</w:t>
      </w:r>
    </w:p>
    <w:p>
      <w:pPr>
        <w:pStyle w:val="Heading2"/>
        <w:spacing w:after="120" w:before="260"/>
      </w:pPr>
      <w:r>
        <w:t xml:space="preserve">4.3 Scalability</w:t>
      </w:r>
    </w:p>
    <w:p>
      <w:pPr>
        <w:spacing w:after="160" w:line="276"/>
      </w:pPr>
      <w:r>
        <w:rPr>
          <w:sz w:val="21"/>
          <w:szCs w:val="21"/>
        </w:rPr>
        <w:t xml:space="preserve">SQLite is a single-file, effectively single-writer database — an appropriate and low-overhead choice for the current user base, but it is the primary structural ceiling on horizontal scaling. WAL mode plus a busy_timeout allows the current 2-process pm2 cluster to share it safely; a meaningfully larger user base would require migrating to a managed multi-writer database (e.g. Postgres) rather than scaling SQLite further.</w:t>
      </w:r>
    </w:p>
    <w:p>
      <w:pPr>
        <w:pStyle w:val="Heading2"/>
        <w:spacing w:after="120" w:before="260"/>
      </w:pPr>
      <w:r>
        <w:t xml:space="preserve">4.4 Security</w:t>
      </w:r>
    </w:p>
    <w:p>
      <w:pPr>
        <w:spacing w:after="160" w:line="276"/>
      </w:pPr>
      <w:r>
        <w:rPr>
          <w:sz w:val="21"/>
          <w:szCs w:val="21"/>
        </w:rPr>
        <w:t xml:space="preserve">Fully documented separately in Strivo-Security-Overview.docx — authentication, authorization, rate limiting, secrets management, monitoring, backups, and known gaps.</w:t>
      </w:r>
    </w:p>
    <w:p>
      <w:pPr>
        <w:pStyle w:val="Heading2"/>
        <w:spacing w:after="120" w:before="260"/>
      </w:pPr>
      <w:r>
        <w:t xml:space="preserve">4.5 Internationalization</w:t>
      </w:r>
    </w:p>
    <w:p>
      <w:pPr>
        <w:spacing w:after="160" w:line="276"/>
      </w:pPr>
      <w:r>
        <w:rPr>
          <w:sz w:val="21"/>
          <w:szCs w:val="21"/>
        </w:rPr>
        <w:t xml:space="preserve">English and Hindi are explicitly supported in the retrieval pipeline (§3). No broader i18n framework (translated UI strings, locale routing) is implemented — the app interface itself is English-only; only memory content/retrieval is language-aware.</w:t>
      </w:r>
    </w:p>
    <w:p>
      <w:pPr>
        <w:pStyle w:val="Heading2"/>
        <w:spacing w:after="120" w:before="260"/>
      </w:pPr>
      <w:r>
        <w:t xml:space="preserve">4.6 Browser / device support</w:t>
      </w:r>
    </w:p>
    <w:p>
      <w:pPr>
        <w:spacing w:after="160" w:line="276"/>
      </w:pPr>
      <w:r>
        <w:rPr>
          <w:sz w:val="21"/>
          <w:szCs w:val="21"/>
        </w:rPr>
        <w:t xml:space="preserve">No explicit legacy-browser support statement exists in the codebase; the stack (Next.js 16, Tailwind v4, modern CSS) assumes current evergreen browsers. Native support is Android only via the Capacitor WebView.</w:t>
      </w:r>
    </w:p>
    <w:p>
      <w:pPr>
        <w:pStyle w:val="Heading1"/>
        <w:spacing w:after="160" w:before="360"/>
      </w:pPr>
      <w:r>
        <w:t xml:space="preserve">5. Third-Party Integrations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800"/>
      </w:tblGrid>
      <w:tr>
        <w:trPr>
          <w:tblHeader/>
        </w:trPr>
        <w:tc>
          <w:tcPr>
            <w:tcW w:type="dxa" w:w="24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0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Used for</w:t>
            </w:r>
          </w:p>
        </w:tc>
        <w:tc>
          <w:tcPr>
            <w:tcW w:type="dxa" w:w="28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Integration type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OpenAI API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Metadata generation, embeddings, chat completions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Server-side REST calls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OAuth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Sign-in identity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NextAuth provider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 SES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Outbound Help &amp; Support emails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 SDK, scoped IAM credential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Native push notifications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firebase-admin SDK, service-account credential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Sentry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 monitoring (client + server)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@sentry/nextjs SDK + separate read-only REST API for the admin dashboard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DNS, optional proxy/CDN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DNS records; SSL termination happens at the origin server, not Cloudflare, for the domains observed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/>
      </w:pPr>
      <w:r>
        <w:t xml:space="preserve">6. Environments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  <w:gridCol w:w="3600"/>
      </w:tblGrid>
      <w:tr>
        <w:trPr>
          <w:tblHeader/>
        </w:trPr>
        <w:tc>
          <w:tcPr>
            <w:tcW w:type="dxa" w:w="24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Domain</w:t>
            </w:r>
          </w:p>
        </w:tc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W w:type="dxa" w:w="3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strivo.ai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user data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product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staging.strivo.ai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Independent, empty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Verify risky changes before they reach production</w:t>
            </w:r>
          </w:p>
        </w:tc>
      </w:tr>
    </w:tbl>
    <w:p>
      <w:pPr>
        <w:spacing w:before="200"/>
      </w:pPr>
    </w:p>
    <w:p>
      <w:pPr>
        <w:spacing w:after="160" w:line="276"/>
      </w:pPr>
      <w:r>
        <w:rPr>
          <w:sz w:val="21"/>
          <w:szCs w:val="21"/>
        </w:rPr>
        <w:t xml:space="preserve">Deploys are performed via committed shell scripts (scripts/deploy.sh, scripts/deploy-staging.sh) that pull latest code, install dependencies, run a dependency vulnerability scan, build into a scratch directory, atomically swap it in, and restart the pm2 cluster. scripts/rollback.sh reverts code (never the database) to the last-known-good commit in one command.</w:t>
      </w:r>
    </w:p>
    <w:p>
      <w:pPr>
        <w:pStyle w:val="Heading1"/>
        <w:spacing w:after="160" w:before="360"/>
      </w:pPr>
      <w:r>
        <w:t xml:space="preserve">7. Operating Constraints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Maintained by a single founder with substantial AI-agent-assisted development — code changes and infrastructure operations are guided step-by-step through an AI assistant rather than by a dedicated engineering team.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Production hosting is a single small EC2 instance with under 1GB of RAM, which directly shapes several documented tradeoffs above (deploy downtime, SQLite choice, in-process retrieval).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No dedicated DevOps/SRE tooling beyond what is described here (no Kubernetes, no managed database, no CDN-fronted origin shielding beyond Cloudflare DNS).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40"/>
      </w:pPr>
    </w:lvl>
    <w:lvl w:ilvl="1" w15:tentative="1">
      <w:start w:val="1"/>
      <w:numFmt w:val="lowerLetter"/>
      <w:lvlText w:val="%2."/>
      <w:lvlJc w:val="left"/>
      <w:pPr>
        <w:ind w:left="7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5cf6" w:sz="8" w:space="4"/>
      </w:pBdr>
      <w:spacing w:after="160" w:before="360"/>
    </w:pPr>
    <w:rPr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d2140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4633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2026-08-23T05:58:52.635Z</dcterms:created>
  <dcterms:modified xsi:type="dcterms:W3CDTF">2026-08-23T05:58:52.636Z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