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a1a2e"/>
          <w:sz w:val="56"/>
          <w:szCs w:val="56"/>
        </w:rPr>
        <w:t xml:space="preserve">STRIVO</w:t>
      </w:r>
    </w:p>
    <w:p>
      <w:pPr>
        <w:spacing w:after="40" w:before="120"/>
        <w:jc w:val="center"/>
      </w:pPr>
      <w:r>
        <w:rPr>
          <w:b/>
          <w:bCs/>
          <w:color w:val="463366"/>
          <w:sz w:val="32"/>
          <w:szCs w:val="32"/>
        </w:rPr>
        <w:t xml:space="preserve">UI/UX Design Document</w:t>
      </w:r>
    </w:p>
    <w:p>
      <w:pPr>
        <w:spacing w:after="700"/>
        <w:jc w:val="center"/>
      </w:pPr>
      <w:r>
        <w:rPr>
          <w:i/>
          <w:iCs/>
          <w:color w:val="6b6b6b"/>
          <w:sz w:val="22"/>
          <w:szCs w:val="22"/>
        </w:rPr>
        <w:t xml:space="preserve">Design system, navigation, screen inventory, and key interaction patterns</w:t>
      </w:r>
    </w:p>
    <w:p>
      <w:pPr>
        <w:spacing w:after="80"/>
        <w:jc w:val="center"/>
      </w:pPr>
      <w:r>
        <w:rPr>
          <w:sz w:val="21"/>
          <w:szCs w:val="21"/>
        </w:rPr>
        <w:t xml:space="preserve">strivo.ai — AI-powered personal career memory app</w:t>
      </w:r>
    </w:p>
    <w:p>
      <w:pPr>
        <w:spacing w:after="700"/>
        <w:jc w:val="center"/>
      </w:pPr>
      <w:r>
        <w:rPr>
          <w:sz w:val="21"/>
          <w:szCs w:val="21"/>
        </w:rPr>
        <w:t xml:space="preserve">Prepared: August 23, 2026</w:t>
      </w:r>
    </w:p>
    <w:p>
      <w:pPr>
        <w:spacing w:after="160" w:line="276"/>
      </w:pPr>
      <w:r>
        <w:rPr>
          <w:i/>
          <w:iCs/>
          <w:color w:val="555555"/>
          <w:sz w:val="21"/>
          <w:szCs w:val="21"/>
        </w:rPr>
        <w:t xml:space="preserve">Reflects the design tokens and screen structure actually implemented in the codebase (src/app/globals.css and the route tree) as of this document's date.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Design System</w:t>
      </w:r>
    </w:p>
    <w:p>
      <w:pPr>
        <w:pStyle w:val="Heading2"/>
        <w:spacing w:after="120" w:before="260"/>
      </w:pPr>
      <w:r>
        <w:t xml:space="preserve">1.1 Color tokens</w:t>
      </w:r>
    </w:p>
    <w:p>
      <w:pPr>
        <w:spacing w:after="160" w:line="276"/>
      </w:pPr>
      <w:r>
        <w:rPr>
          <w:sz w:val="21"/>
          <w:szCs w:val="21"/>
        </w:rPr>
        <w:t xml:space="preserve">Every screen and component consumes color through these theme variables rather than hardcoded values (src/app/globals.css) — changing a token re-skins the whole product: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000"/>
      </w:tblGrid>
      <w:tr>
        <w:trPr>
          <w:tblHeader/>
        </w:trPr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40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brand-primary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#7c3aed (purple)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brand color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brand-secondary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#4f6ef7 (blue)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 brand color, gradients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brand-primary-soft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#ede9fe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 purple backgrounds/highlights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brand-secondary-soft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#ecfeff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 blue backgrounds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#0f172a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text (dark navy)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ink-soft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#5b6478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Secondary text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ink-faint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#94a0b8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Tertiary text / placeholders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surface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Card / surface background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#f8f7fc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border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#ece9f5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border color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 / danger / warning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#16a34a / #dc2626 / #d97706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colors</w:t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t xml:space="preserve">1.2 Typography &amp; shape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Font stack: </w:t>
      </w:r>
      <w:r>
        <w:rPr>
          <w:sz w:val="21"/>
          <w:szCs w:val="21"/>
        </w:rPr>
        <w:t xml:space="preserve">-apple-system, BlinkMacSystemFont, "Segoe UI", Inter, Roboto, Helvetica, Arial, sans-serif — a native-feeling system-font stack rather than a single custom webfont.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Radius: </w:t>
      </w:r>
      <w:r>
        <w:rPr>
          <w:sz w:val="21"/>
          <w:szCs w:val="21"/>
        </w:rPr>
        <w:t xml:space="preserve">cards 1.25rem, pills 999px (fully rounded), inputs 0.85rem — consistently soft, rounded shapes throughout.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Shadow: </w:t>
      </w:r>
      <w:r>
        <w:rPr>
          <w:sz w:val="21"/>
          <w:szCs w:val="21"/>
        </w:rPr>
        <w:t xml:space="preserve">a subtle dual-layer card shadow with a faint purple tint, plus a distinct upward shadow for the bottom navigation bar.</w:t>
      </w:r>
    </w:p>
    <w:p>
      <w:pPr>
        <w:pStyle w:val="Heading1"/>
        <w:spacing w:after="160" w:before="360"/>
      </w:pPr>
      <w:r>
        <w:t xml:space="preserve">2. Two Distinct Visual Themes</w:t>
      </w:r>
    </w:p>
    <w:p>
      <w:pPr>
        <w:spacing w:after="160" w:line="276"/>
      </w:pPr>
      <w:r>
        <w:rPr>
          <w:sz w:val="21"/>
          <w:szCs w:val="21"/>
        </w:rPr>
        <w:t xml:space="preserve">Strivo intentionally runs two different visual languages, not one applied inconsistently — this was a deliberate design decision, not an oversight:</w:t>
      </w:r>
    </w:p>
    <w:p>
      <w:pPr>
        <w:pStyle w:val="Heading2"/>
        <w:spacing w:after="120" w:before="260"/>
      </w:pPr>
      <w:r>
        <w:t xml:space="preserve">2.1 In-app product theme</w:t>
      </w:r>
    </w:p>
    <w:p>
      <w:pPr>
        <w:spacing w:after="160" w:line="276"/>
      </w:pPr>
      <w:r>
        <w:rPr>
          <w:sz w:val="21"/>
          <w:szCs w:val="21"/>
        </w:rPr>
        <w:t xml:space="preserve">Every authenticated app screen uses a consistent dark-header-plus-light-body pattern (rolled out screen by screen and confirmed complete across the app). The bottom navigation bar is a flat, opaque dark color (#26213c) — deliberately not translucent, after an earlier translucent version had real rendering inconsistencies depending on what was behind it.</w:t>
      </w:r>
    </w:p>
    <w:p>
      <w:pPr>
        <w:pStyle w:val="Heading2"/>
        <w:spacing w:after="120" w:before="260"/>
      </w:pPr>
      <w:r>
        <w:t xml:space="preserve">2.2 Marketing site &amp; blog theme</w:t>
      </w:r>
    </w:p>
    <w:p>
      <w:pPr>
        <w:spacing w:after="160" w:line="276"/>
      </w:pPr>
      <w:r>
        <w:rPr>
          <w:sz w:val="21"/>
          <w:szCs w:val="21"/>
        </w:rPr>
        <w:t xml:space="preserve">The public marketing homepage and blog use a bold, black editorial theme (#0a0a0f background) — visually distinct from the in-app product by design, documented in code as “a bold black-background editorial layout... rather than a colorful gradient SaaS template.” Pinned via a literal ID selector with !important as a defensive measure against a rendering bug where the dark background intermittently failed to paint on some deployments despite correct computed styles.</w:t>
      </w:r>
    </w:p>
    <w:p>
      <w:pPr>
        <w:pStyle w:val="Heading1"/>
        <w:spacing w:after="160" w:before="360"/>
      </w:pPr>
      <w:r>
        <w:t xml:space="preserve">3. Navigation Structure</w:t>
      </w:r>
    </w:p>
    <w:p>
      <w:pPr>
        <w:pStyle w:val="Heading2"/>
        <w:spacing w:after="120" w:before="260"/>
      </w:pPr>
      <w:r>
        <w:t xml:space="preserve">3.1 Bottom navigation (in-app)</w:t>
      </w:r>
    </w:p>
    <w:p>
      <w:pPr>
        <w:spacing w:after="160" w:line="276"/>
      </w:pPr>
      <w:r>
        <w:rPr>
          <w:sz w:val="21"/>
          <w:szCs w:val="21"/>
        </w:rPr>
        <w:t xml:space="preserve">A persistent 4-tab bottom bar, present on every authenticated screen: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Chats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Memories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Record</w:t>
      </w:r>
    </w:p>
    <w:p>
      <w:pPr>
        <w:pStyle w:val="Heading2"/>
        <w:spacing w:after="120" w:before="260"/>
      </w:pPr>
      <w:r>
        <w:t xml:space="preserve">3.2 Route grouping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sz w:val="19"/>
          <w:szCs w:val="19"/>
        </w:rPr>
        <w:t xml:space="preserve">(auth)</w:t>
      </w:r>
      <w:r>
        <w:rPr>
          <w:sz w:val="21"/>
          <w:szCs w:val="21"/>
        </w:rPr>
        <w:t xml:space="preserve"> — login, signup, welcome, mobile Google sign-in bridge, forgot/reset password (inert stubs).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onsolas" w:cs="Consolas" w:eastAsia="Consolas" w:hAnsi="Consolas"/>
          <w:sz w:val="19"/>
          <w:szCs w:val="19"/>
        </w:rPr>
        <w:t xml:space="preserve">(app)</w:t>
      </w:r>
      <w:r>
        <w:rPr>
          <w:sz w:val="21"/>
          <w:szCs w:val="21"/>
        </w:rPr>
        <w:t xml:space="preserve"> — home, record, memories (+ detail), chats (+ detail, + relevant memories), settings (+ profile, help, about, subscription).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Top-level: marketing homepage (</w:t>
      </w:r>
      <w:r>
        <w:rPr>
          <w:rFonts w:ascii="Consolas" w:cs="Consolas" w:eastAsia="Consolas" w:hAnsi="Consolas"/>
          <w:sz w:val="19"/>
          <w:szCs w:val="19"/>
        </w:rPr>
        <w:t xml:space="preserve">/</w:t>
      </w:r>
      <w:r>
        <w:rPr>
          <w:sz w:val="21"/>
          <w:szCs w:val="21"/>
        </w:rPr>
        <w:t xml:space="preserve">), app entry (</w:t>
      </w:r>
      <w:r>
        <w:rPr>
          <w:rFonts w:ascii="Consolas" w:cs="Consolas" w:eastAsia="Consolas" w:hAnsi="Consolas"/>
          <w:sz w:val="19"/>
          <w:szCs w:val="19"/>
        </w:rPr>
        <w:t xml:space="preserve">/app</w:t>
      </w:r>
      <w:r>
        <w:rPr>
          <w:sz w:val="21"/>
          <w:szCs w:val="21"/>
        </w:rPr>
        <w:t xml:space="preserve">), blog (</w:t>
      </w:r>
      <w:r>
        <w:rPr>
          <w:rFonts w:ascii="Consolas" w:cs="Consolas" w:eastAsia="Consolas" w:hAnsi="Consolas"/>
          <w:sz w:val="19"/>
          <w:szCs w:val="19"/>
        </w:rPr>
        <w:t xml:space="preserve">/blog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/blog/[slug]</w:t>
      </w:r>
      <w:r>
        <w:rPr>
          <w:sz w:val="21"/>
          <w:szCs w:val="21"/>
        </w:rPr>
        <w:t xml:space="preserve">), privacy, terms, admin (+ admin login).</w:t>
      </w:r>
    </w:p>
    <w:p>
      <w:pPr>
        <w:pStyle w:val="Heading1"/>
        <w:spacing w:after="160" w:before="360"/>
      </w:pPr>
      <w:r>
        <w:t xml:space="preserve">4. Screen Inventory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Route</w:t>
            </w:r>
          </w:p>
        </w:tc>
        <w:tc>
          <w:tcPr>
            <w:tcW w:type="dxa" w:w="60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 (marketing)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homepage — hero, how-it-works, value props, pricing, testimonials, CTA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/app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 point that routes signed-in users into the product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/(auth)/login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sign-in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/(auth)/signup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Inert 410 stub (Google-only auth)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/(auth)/welcome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First-run welcome screen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/(auth)/mobile-google-start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Native app's system-browser sign-in launch page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/(app)/home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Post-login landing: greeting, Quick Actions, active nudge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/(app)/record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 / file / text memory capture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/(app)/memories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library, list + filter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/(app)/memories/[id]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memory detail / edit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/(app)/chats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 list, filterable by category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/(app)/chats/[id]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 conversation with the AI coach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/(app)/chats/[id]/memories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Memories the AI drew on for that chat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/(app)/settings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Settings hub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/(app)/settings/profile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member-since, sign-out, delete account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/(app)/settings/subscription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 status and pricing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/(app)/settings/help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Help &amp; Support contact form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/(app)/settings/about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About Strivo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/blog, /blog/[slug]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SEO content marketing, daily auto-published posts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/privacy, /terms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Legal pages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/admin, /admin/login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Founder-only operations dashboard (separate auth)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t xml:space="preserve">5. Key Interaction Patterns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Quick Actions on Home: </w:t>
      </w:r>
      <w:r>
        <w:rPr>
          <w:sz w:val="21"/>
          <w:szCs w:val="21"/>
        </w:rPr>
        <w:t xml:space="preserve">five pre-titled conversation starters (Interview, Resume, Performance Review, Leadership, Others), each launching a new chat with a plain, first-person opening message rather than an instruction — the AI's own system prompt is responsible for asking a clarifying follow-up if needed.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Relevant Memories panel: </w:t>
      </w:r>
      <w:r>
        <w:rPr>
          <w:sz w:val="21"/>
          <w:szCs w:val="21"/>
        </w:rPr>
        <w:t xml:space="preserve">shown alongside each AI answer, deliberately scoped to only the memories behind the latest answer — not the whole conversation's history — so it stays a precise, trustworthy citation rather than a growing, less-meaningful list.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Markdown rendering: </w:t>
      </w:r>
      <w:r>
        <w:rPr>
          <w:sz w:val="21"/>
          <w:szCs w:val="21"/>
        </w:rPr>
        <w:t xml:space="preserve">AI chat responses render basic markdown (bold, lists) rather than showing raw formatting characters.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Memory source badges: </w:t>
      </w:r>
      <w:r>
        <w:rPr>
          <w:sz w:val="21"/>
          <w:szCs w:val="21"/>
        </w:rPr>
        <w:t xml:space="preserve">every memory visibly shows how it was captured (voice / file / text).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Recording cap UX: </w:t>
      </w:r>
      <w:r>
        <w:rPr>
          <w:sz w:val="21"/>
          <w:szCs w:val="21"/>
        </w:rPr>
        <w:t xml:space="preserve">a visible 10-minute cap per recording stretch on Record, rather than an unbounded recording that could produce an oversized, slow-to-process transcript.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Category filter tabs: </w:t>
      </w:r>
      <w:r>
        <w:rPr>
          <w:sz w:val="21"/>
          <w:szCs w:val="21"/>
        </w:rPr>
        <w:t xml:space="preserve">Chats and Quick Actions share one taxonomy (All / Interview / Resume / Leadership / Performance Review / Others), kept in sync so a chat's category always matches a real filter tab.</w:t>
      </w:r>
    </w:p>
    <w:p>
      <w:pPr>
        <w:pStyle w:val="Heading1"/>
        <w:spacing w:after="160" w:before="360"/>
      </w:pPr>
      <w:r>
        <w:t xml:space="preserve">6. Native App UX Considerations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Sign-in handoff: </w:t>
      </w:r>
      <w:r>
        <w:rPr>
          <w:sz w:val="21"/>
          <w:szCs w:val="21"/>
        </w:rPr>
        <w:t xml:space="preserve">Google blocks its sign-in screen inside embedded WebViews, so native sign-in opens the device's system browser, then hands the resulting session back to the app's own WebView via a short-lived deep link — invisible to the user beyond a brief browser-app transition.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1"/>
          <w:szCs w:val="21"/>
        </w:rPr>
        <w:t xml:space="preserve">Push notification deep links: </w:t>
      </w:r>
      <w:r>
        <w:rPr>
          <w:sz w:val="21"/>
          <w:szCs w:val="21"/>
        </w:rPr>
        <w:t xml:space="preserve">admin-broadcast nudge notifications deep-link directly into Record, shortening the path from “got a push” to “captured a memory.”</w:t>
      </w:r>
    </w:p>
    <w:p>
      <w:pPr>
        <w:pStyle w:val="Heading1"/>
        <w:spacing w:after="160" w:before="360"/>
      </w:pPr>
      <w:r>
        <w:t xml:space="preserve">7. Layout &amp; Responsiveness</w:t>
      </w:r>
    </w:p>
    <w:p>
      <w:pPr>
        <w:spacing w:after="160" w:line="276"/>
      </w:pPr>
      <w:r>
        <w:rPr>
          <w:sz w:val="21"/>
          <w:szCs w:val="21"/>
        </w:rPr>
        <w:t xml:space="preserve">The in-app product is built mobile-first with a constrained max-width (max-w-md) column even on desktop browsers, reflecting that the primary intended usage is a phone-sized viewport (matching the native app's WebView). Safe-area-inset padding is applied around the bottom nav to respect device notches/home indicators on modern phones.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40"/>
      </w:pPr>
    </w:lvl>
    <w:lvl w:ilvl="1" w15:tentative="1">
      <w:start w:val="1"/>
      <w:numFmt w:val="lowerLetter"/>
      <w:lvlText w:val="%2."/>
      <w:lvlJc w:val="left"/>
      <w:pPr>
        <w:ind w:left="7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5cf6" w:sz="8" w:space="4"/>
      </w:pBdr>
      <w:spacing w:after="160" w:before="360"/>
    </w:pPr>
    <w:rPr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d2140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4633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2026-08-23T05:58:52.899Z</dcterms:created>
  <dcterms:modified xsi:type="dcterms:W3CDTF">2026-08-23T05:58:52.899Z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