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line="264" w:lineRule="auto"/>
      </w:pPr>
      <w:bookmarkStart w:id="20" w:name="Xac1644ec17512bfbaa137256ad05fa23e3c9ec8"/>
      <w:r>
        <w:t xml:space="preserve">Elena Vasquez - Principal Frontend Engineer</w:t>
      </w:r>
      <w:bookmarkEnd w:id="20"/>
    </w:p>
    <w:p>
      <w:pPr>
        <w:pStyle w:val="Subtitle"/>
        <w:spacing w:line="264" w:lineRule="auto"/>
      </w:pPr>
      <w:r>
        <w:t xml:space="preserve">Frontend Architecture &amp; Design Systems</w:t>
      </w:r>
    </w:p>
    <w:p>
      <w:pPr>
        <w:pStyle w:val="Quote"/>
        <w:spacing w:line="264" w:lineRule="auto"/>
      </w:pPr>
      <w:r>
        <w:t xml:space="preserve">07700 900123 | elena.vasquez@email.com | linkedin.com/in/elenavasquezuk</w:t>
      </w:r>
    </w:p>
    <w:p>
      <w:pPr>
        <w:pStyle w:val="Heading2"/>
        <w:spacing w:line="264" w:lineRule="auto"/>
      </w:pPr>
      <w:bookmarkStart w:id="21" w:name="profile"/>
      <w:r>
        <w:t xml:space="preserve">Profile</w:t>
      </w:r>
      <w:bookmarkEnd w:id="21"/>
    </w:p>
    <w:p>
      <w:pPr>
        <w:pStyle w:val="FirstParagraph"/>
        <w:spacing w:line="264" w:lineRule="auto"/>
      </w:pPr>
      <w:r>
        <w:t xml:space="preserve">Principal frontend engineer with 15 years of experience, specialising in frontend architecture, design systems, and technical strategy across consumer-facing platforms. I have defined and delivered frontend direction for organisations with up to 45 developers, establishing shared component libraries, engineering standards, and cross-team tooling. My work spans fintech, insurance, health tech, and government, with a consistent focus on building scalable, accessible, and performant web applications.</w:t>
      </w:r>
    </w:p>
    <w:p>
      <w:pPr>
        <w:pStyle w:val="BodyText"/>
        <w:spacing w:line="264" w:lineRule="auto"/>
      </w:pPr>
      <w:r>
        <w:t xml:space="preserve">I bring strong Next.js and TypeScript expertise alongside deep experience hiring and mentoring frontend engineers. My approach combines pragmatic architectural decision-making with high standards for code quality, testing, and accessibility, shaped by working in regulated industries and citizen-facing services.</w:t>
      </w:r>
    </w:p>
    <w:p>
      <w:pPr>
        <w:pStyle w:val="Heading2"/>
        <w:spacing w:line="264" w:lineRule="auto"/>
      </w:pPr>
      <w:bookmarkStart w:id="22" w:name="experience"/>
      <w:r>
        <w:t xml:space="preserve">Experience</w:t>
      </w:r>
      <w:bookmarkEnd w:id="22"/>
    </w:p>
    <w:p>
      <w:pPr>
        <w:pStyle w:val="Heading3"/>
        <w:spacing w:line="264" w:lineRule="auto"/>
      </w:pPr>
      <w:bookmarkStart w:id="23" w:name="X9db8938c17abb3b6e3b7a83a904a056c72bf1d2"/>
      <w:r>
        <w:t xml:space="preserve">Principal Frontend Engineer — Migration Lead</w:t>
      </w:r>
      <w:bookmarkEnd w:id="23"/>
    </w:p>
    <w:p>
      <w:pPr>
        <w:pStyle w:val="Heading4"/>
        <w:spacing w:line="264" w:lineRule="auto"/>
      </w:pPr>
      <w:r>
        <w:t>Aegon UK - Edinburgh (Hybrid/Remote)</w:t>
      </w:r>
      <w:r>
        <w:tab/>
      </w:r>
      <w:r>
        <w:t>Mar 2024 to present</w:t>
      </w:r>
    </w:p>
    <w:p>
      <w:pPr>
        <w:pStyle w:val="BodyText"/>
        <w:spacing w:line="264" w:lineRule="auto"/>
      </w:pPr>
      <w:r>
        <w:t xml:space="preserve">Leading frontend technical direction for a large insurance platform, owning shared React infrastructure (80+ component design system, automated tooling, CI/CD standards) across 8 teams and 45 frontend developers.</w:t>
      </w:r>
    </w:p>
    <w:p>
      <w:pPr>
        <w:numPr>
          <w:ilvl w:val="0"/>
          <w:numId w:val="1001"/>
        </w:numPr>
        <w:pStyle w:val="ListParagraph"/>
        <w:spacing w:line="264" w:lineRule="auto"/>
      </w:pPr>
      <w:r>
        <w:t xml:space="preserve">Scaled a React component library from 15 to 80+ components with design tokens (Style Dictionary), WCAG 2.1 AA compliance testing in CI, and Figma-to-code parity across all consuming teams.</w:t>
      </w:r>
    </w:p>
    <w:p>
      <w:pPr>
        <w:numPr>
          <w:ilvl w:val="0"/>
          <w:numId w:val="1001"/>
        </w:numPr>
        <w:pStyle w:val="ListParagraph"/>
        <w:spacing w:line="264" w:lineRule="auto"/>
      </w:pPr>
      <w:r>
        <w:t xml:space="preserve">Built and lead a 3-person frontend team, responsible for hiring, mentoring, and work allocation while maintaining hands-on architectural delivery.</w:t>
      </w:r>
    </w:p>
    <w:p>
      <w:pPr>
        <w:numPr>
          <w:ilvl w:val="0"/>
          <w:numId w:val="1001"/>
        </w:numPr>
        <w:pStyle w:val="ListParagraph"/>
        <w:spacing w:line="264" w:lineRule="auto"/>
      </w:pPr>
      <w:r>
        <w:t xml:space="preserve">Established frontend engineering standards, shared TypeScript configuration, and testing strategy (Vitest, Playwright) adopted organisation-wide.</w:t>
      </w:r>
    </w:p>
    <w:p>
      <w:pPr>
        <w:pStyle w:val="Heading3"/>
        <w:spacing w:line="264" w:lineRule="auto"/>
      </w:pPr>
      <w:bookmarkStart w:id="24" w:name="principal-frontend-engineer"/>
      <w:r>
        <w:t xml:space="preserve">Principal Frontend Engineer</w:t>
      </w:r>
      <w:bookmarkEnd w:id="24"/>
    </w:p>
    <w:p>
      <w:pPr>
        <w:pStyle w:val="Heading4"/>
        <w:spacing w:line="264" w:lineRule="auto"/>
      </w:pPr>
      <w:r>
        <w:t>Aegon UK - Edinburgh (Hybrid/Remote)</w:t>
      </w:r>
      <w:r>
        <w:tab/>
      </w:r>
      <w:r>
        <w:t>Jun 2022 to Feb 2024</w:t>
      </w:r>
    </w:p>
    <w:p>
      <w:pPr>
        <w:pStyle w:val="BodyText"/>
        <w:spacing w:line="264" w:lineRule="auto"/>
      </w:pPr>
      <w:r>
        <w:t xml:space="preserve">Designed the frontend architecture and technical strategy for a multi-year platform modernisation spanning 15 applications, gaining CTO approval after auditing the full estate and interviewing all team leads.</w:t>
      </w:r>
    </w:p>
    <w:p>
      <w:pPr>
        <w:numPr>
          <w:ilvl w:val="0"/>
          <w:numId w:val="1002"/>
        </w:numPr>
        <w:pStyle w:val="ListParagraph"/>
        <w:spacing w:line="264" w:lineRule="auto"/>
      </w:pPr>
      <w:r>
        <w:t xml:space="preserve">Founded a fortnightly frontend community of practice that grew from 12 to 35+ engineers, becoming the primary forum for architectural decisions across the organisation.</w:t>
      </w:r>
    </w:p>
    <w:p>
      <w:pPr>
        <w:pStyle w:val="Heading3"/>
        <w:spacing w:line="264" w:lineRule="auto"/>
      </w:pPr>
      <w:bookmarkStart w:id="25" w:name="staff-frontend-engineer"/>
      <w:r>
        <w:t xml:space="preserve">Staff Frontend Engineer</w:t>
      </w:r>
      <w:bookmarkEnd w:id="25"/>
    </w:p>
    <w:p>
      <w:pPr>
        <w:pStyle w:val="Heading4"/>
        <w:spacing w:line="264" w:lineRule="auto"/>
      </w:pPr>
      <w:r>
        <w:t>Kova - London (Remote)</w:t>
      </w:r>
      <w:r>
        <w:tab/>
      </w:r>
      <w:r>
        <w:t>Jan 2020 to May 2022</w:t>
      </w:r>
    </w:p>
    <w:p>
      <w:pPr>
        <w:pStyle w:val="BodyText"/>
        <w:spacing w:line="264" w:lineRule="auto"/>
      </w:pPr>
      <w:r>
        <w:t xml:space="preserve">First Staff Frontend Engineer at a Series C fintech, providing cross-team architectural direction for 4 React applications and 12 frontend engineers with no prior overarching technical leadership.</w:t>
      </w:r>
    </w:p>
    <w:p>
      <w:pPr>
        <w:numPr>
          <w:ilvl w:val="0"/>
          <w:numId w:val="1003"/>
        </w:numPr>
        <w:pStyle w:val="ListParagraph"/>
        <w:spacing w:line="264" w:lineRule="auto"/>
      </w:pPr>
      <w:r>
        <w:t xml:space="preserve">Designed and rolled out a module federation-based micro-frontend architecture enabling independent deployment, and founded the company’s first design system (45 components) adopted by all squads within 8 months.</w:t>
      </w:r>
    </w:p>
    <w:p>
      <w:pPr>
        <w:numPr>
          <w:ilvl w:val="0"/>
          <w:numId w:val="1003"/>
        </w:numPr>
        <w:pStyle w:val="ListParagraph"/>
        <w:spacing w:line="264" w:lineRule="auto"/>
      </w:pPr>
      <w:r>
        <w:t xml:space="preserve">Introduced Lighthouse CI performance budgets and Core Web Vitals tracking, resolving a critical bundle size regression and preventing future regressions from reaching production.</w:t>
      </w:r>
    </w:p>
    <w:p>
      <w:pPr>
        <w:pStyle w:val="Heading3"/>
        <w:spacing w:line="264" w:lineRule="auto"/>
      </w:pPr>
      <w:bookmarkStart w:id="26" w:name="senior-frontend-engineer"/>
      <w:r>
        <w:t xml:space="preserve">Senior Frontend Engineer</w:t>
      </w:r>
      <w:bookmarkEnd w:id="26"/>
    </w:p>
    <w:p>
      <w:pPr>
        <w:pStyle w:val="Heading4"/>
        <w:spacing w:line="264" w:lineRule="auto"/>
      </w:pPr>
      <w:r>
        <w:t>Wellframe Health - Bristol, UK</w:t>
      </w:r>
      <w:r>
        <w:tab/>
      </w:r>
      <w:r>
        <w:t>Apr 2018 to Dec 2019</w:t>
      </w:r>
    </w:p>
    <w:p>
      <w:pPr>
        <w:pStyle w:val="BodyText"/>
        <w:spacing w:line="264" w:lineRule="auto"/>
      </w:pPr>
      <w:r>
        <w:t xml:space="preserve">Senior frontend engineer on a consumer-facing React health platform, leading performance optimisation, component library extraction, and an incremental jQuery-to-React migration delivered without a feature freeze.</w:t>
      </w:r>
    </w:p>
    <w:p>
      <w:pPr>
        <w:numPr>
          <w:ilvl w:val="0"/>
          <w:numId w:val="1004"/>
        </w:numPr>
        <w:pStyle w:val="ListParagraph"/>
        <w:spacing w:line="264" w:lineRule="auto"/>
      </w:pPr>
      <w:r>
        <w:t xml:space="preserve">Reduced dashboard load time from 8-10 seconds to under 2 seconds through virtualised rendering (react-window) and systematic elimination of unnecessary re-renders.</w:t>
      </w:r>
    </w:p>
    <w:p>
      <w:pPr>
        <w:pStyle w:val="Heading3"/>
        <w:spacing w:line="264" w:lineRule="auto"/>
      </w:pPr>
      <w:bookmarkStart w:id="27" w:name="frontend-developer"/>
      <w:r>
        <w:t xml:space="preserve">Frontend Developer</w:t>
      </w:r>
      <w:bookmarkEnd w:id="27"/>
    </w:p>
    <w:p>
      <w:pPr>
        <w:pStyle w:val="Heading4"/>
        <w:spacing w:line="264" w:lineRule="auto"/>
      </w:pPr>
      <w:r>
        <w:t>Government Digital Service - London, UK</w:t>
      </w:r>
      <w:r>
        <w:tab/>
      </w:r>
      <w:r>
        <w:t>Mar 2016 to Mar 2018</w:t>
      </w:r>
    </w:p>
    <w:p>
      <w:pPr>
        <w:pStyle w:val="BodyText"/>
        <w:spacing w:line="264" w:lineRule="auto"/>
      </w:pPr>
      <w:r>
        <w:t xml:space="preserve">Frontend developer on citizen-facing transactional services, building with progressive enhancement, strict accessibility standards (WCAG 2.1 AA), and the GOV.UK Design System.</w:t>
      </w:r>
    </w:p>
    <w:p>
      <w:pPr>
        <w:numPr>
          <w:ilvl w:val="0"/>
          <w:numId w:val="1005"/>
        </w:numPr>
        <w:pStyle w:val="ListParagraph"/>
        <w:spacing w:line="264" w:lineRule="auto"/>
      </w:pPr>
      <w:r>
        <w:t xml:space="preserve">Contributed components to the GOV.UK Design System and led accessibility audit and remediation of two legacy services, identifying and fixing approximately 40 WCAG violations.</w:t>
      </w:r>
    </w:p>
    <w:p>
      <w:pPr>
        <w:pStyle w:val="Heading5"/>
        <w:spacing w:line="264" w:lineRule="auto"/>
      </w:pPr>
      <w:r>
        <w:t>Software Engineer (Northgate Building Society)</w:t>
      </w:r>
      <w:r>
        <w:tab/>
      </w:r>
      <w:r>
        <w:rPr>
          <w:color w:val="auto"/>
        </w:rPr>
        <w:t>Jun 2013 to Feb 2016</w:t>
      </w:r>
    </w:p>
    <w:p>
      <w:pPr>
        <w:pStyle w:val="Heading5"/>
        <w:spacing w:line="264" w:lineRule="auto"/>
      </w:pPr>
      <w:r>
        <w:t>Java Developer (Meridian Consulting)</w:t>
      </w:r>
      <w:r>
        <w:tab/>
      </w:r>
      <w:r>
        <w:rPr>
          <w:color w:val="auto"/>
        </w:rPr>
        <w:t>Sep 2010 to May 2013</w:t>
      </w:r>
    </w:p>
    <w:p>
      <w:pPr>
        <w:pStyle w:val="Heading2"/>
        <w:spacing w:line="264" w:lineRule="auto"/>
      </w:pPr>
      <w:bookmarkStart w:id="28" w:name="skills"/>
      <w:r>
        <w:t xml:space="preserve">Skills</w:t>
      </w:r>
      <w:bookmarkEnd w:id="28"/>
    </w:p>
    <w:p>
      <w:pPr>
        <w:pStyle w:val="Heading4"/>
        <w:spacing w:line="264" w:lineRule="auto"/>
      </w:pPr>
      <w:bookmarkStart w:id="29" w:name="core-skills"/>
      <w:r>
        <w:t xml:space="preserve">Core Skills</w:t>
      </w:r>
      <w:bookmarkEnd w:id="29"/>
    </w:p>
    <w:p>
      <w:pPr>
        <w:pStyle w:val="FirstParagraph"/>
        <w:spacing w:line="264" w:lineRule="auto"/>
      </w:pPr>
      <w:r>
        <w:t xml:space="preserve">Frontend Architecture - TypeScript - React - Next.js - Design Systems &amp; Component Libraries - Accessibility (WCAG) - Team Leadership &amp; Hiring</w:t>
      </w:r>
    </w:p>
    <w:p>
      <w:pPr>
        <w:pStyle w:val="Heading4"/>
        <w:spacing w:line="264" w:lineRule="auto"/>
      </w:pPr>
      <w:bookmarkStart w:id="30" w:name="related-skills"/>
      <w:r>
        <w:t xml:space="preserve">Related Skills</w:t>
      </w:r>
      <w:bookmarkEnd w:id="30"/>
    </w:p>
    <w:p>
      <w:pPr>
        <w:pStyle w:val="FirstParagraph"/>
        <w:spacing w:line="264" w:lineRule="auto"/>
      </w:pPr>
      <w:r>
        <w:t xml:space="preserve">Micro Frontends (Module Federation, Web Components) - Modern Frontend Tooling (Vite, Nx, Vitest) - Performance Optimisation (Lighthouse, Core Web Vitals) - Testing Strategy (Playwright, React Testing Library) - CI/CD - Node.js - GraphQL (Apollo Client)</w:t>
      </w:r>
    </w:p>
    <w:p>
      <w:pPr>
        <w:pStyle w:val="Heading2"/>
        <w:spacing w:line="264" w:lineRule="auto"/>
      </w:pPr>
      <w:bookmarkStart w:id="31" w:name="personal-projects"/>
      <w:r>
        <w:t xml:space="preserve">Personal Projects</w:t>
      </w:r>
      <w:bookmarkEnd w:id="31"/>
    </w:p>
    <w:p>
      <w:pPr>
        <w:pStyle w:val="Heading4"/>
        <w:spacing w:line="264" w:lineRule="auto"/>
      </w:pPr>
      <w:bookmarkStart w:id="32" w:name="Xc63bd7db878a6f446879cd9d4b032233aed0c77"/>
      <w:r>
        <w:t xml:space="preserve">a11y-audit-dashboard (Next.js App Router accessibility tracking tool)</w:t>
      </w:r>
      <w:bookmarkEnd w:id="32"/>
    </w:p>
    <w:p>
      <w:pPr>
        <w:pStyle w:val="FirstParagraph"/>
        <w:spacing w:line="264" w:lineRule="auto"/>
      </w:pPr>
      <w:r>
        <w:t xml:space="preserve">Built with Next.js 14 (App Router), React Server Components, TypeScript, and Tailwind CSS. Ingests axe-core reports, tracks WCAG compliance across multiple applications, and visualises accessibility trends over time using Recharts. Used to monitor compliance across 15 applications during an enterprise migration programme.</w:t>
      </w:r>
    </w:p>
    <w:sectPr w:rsidR="00D457C1" w:rsidSect="004F4DF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7ABABE7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7306296"/>
    <w:multiLevelType w:val="hybridMultilevel"/>
    <w:tmpl w:val="C0565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0265B"/>
    <w:multiLevelType w:val="hybridMultilevel"/>
    <w:tmpl w:val="31420D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A4F5C"/>
    <w:multiLevelType w:val="hybridMultilevel"/>
    <w:tmpl w:val="745ECD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AE401"/>
    <w:multiLevelType w:val="multilevel"/>
    <w:tmpl w:val="3F80655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4CD72B44"/>
    <w:multiLevelType w:val="hybridMultilevel"/>
    <w:tmpl w:val="0E727B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CA698C"/>
    <w:multiLevelType w:val="hybridMultilevel"/>
    <w:tmpl w:val="F35249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2054577229">
    <w:abstractNumId w:val="5"/>
  </w:num>
  <w:num w:numId="2" w16cid:durableId="332346245">
    <w:abstractNumId w:val="2"/>
  </w:num>
  <w:num w:numId="3" w16cid:durableId="571963347">
    <w:abstractNumId w:val="3"/>
  </w:num>
  <w:num w:numId="4" w16cid:durableId="126510526">
    <w:abstractNumId w:val="1"/>
  </w:num>
  <w:num w:numId="5" w16cid:durableId="2145074449">
    <w:abstractNumId w:val="6"/>
  </w:num>
  <w:num w:numId="6" w16cid:durableId="247812476">
    <w:abstractNumId w:val="4"/>
  </w:num>
  <w:num w:numId="7" w16cid:durableId="736438312">
    <w:abstractNumId w:val="0"/>
  </w:num>
  <w:num w:numId="8" w16cid:durableId="534729708">
    <w:abstractNumId w:val="0"/>
  </w:num>
  <w:num w:numId="9" w16cid:durableId="1723822308">
    <w:abstractNumId w:val="0"/>
  </w:num>
  <w:num w:numId="10" w16cid:durableId="1429691934">
    <w:abstractNumId w:val="0"/>
  </w:num>
  <w:num w:numId="11" w16cid:durableId="674379552">
    <w:abstractNumId w:val="0"/>
  </w:num>
  <w:num w:numId="12" w16cid:durableId="1856918579">
    <w:abstractNumId w:val="4"/>
  </w:num>
  <w:num w:numId="13" w16cid:durableId="482431265">
    <w:abstractNumId w:val="0"/>
  </w:num>
  <w:num w:numId="14" w16cid:durableId="947781703">
    <w:abstractNumId w:val="0"/>
  </w:num>
  <w:num w:numId="15" w16cid:durableId="1354572619">
    <w:abstractNumId w:val="0"/>
  </w:num>
  <w:num w:numId="16" w16cid:durableId="399713908">
    <w:abstractNumId w:val="0"/>
  </w:num>
  <w:num w:numId="17" w16cid:durableId="2121292122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AA5"/>
    <w:pPr>
      <w:spacing w:line="360" w:lineRule="auto"/>
    </w:pPr>
    <w:rPr>
      <w:rFonts w:ascii="Lora" w:hAnsi="Lor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52D"/>
    <w:pPr>
      <w:keepNext/>
      <w:keepLines/>
      <w:spacing w:after="0"/>
      <w:jc w:val="center"/>
      <w:outlineLvl w:val="0"/>
    </w:pPr>
    <w:rPr>
      <w:rFonts w:ascii="Roboto" w:eastAsiaTheme="majorEastAsia" w:hAnsi="Roboto" w:cstheme="majorBidi"/>
      <w:color w:val="2A60DA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2AA5"/>
    <w:pPr>
      <w:keepNext/>
      <w:keepLines/>
      <w:pBdr>
        <w:bottom w:val="single" w:sz="4" w:space="1" w:color="1F4CB1"/>
      </w:pBdr>
      <w:spacing w:before="280" w:after="80"/>
      <w:outlineLvl w:val="1"/>
    </w:pPr>
    <w:rPr>
      <w:rFonts w:ascii="Roboto" w:eastAsiaTheme="majorEastAsia" w:hAnsi="Roboto" w:cstheme="majorBidi"/>
      <w:b/>
      <w:color w:val="2239AE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6510"/>
    <w:pPr>
      <w:keepNext/>
      <w:keepLines/>
      <w:tabs>
        <w:tab w:val="right" w:pos="9639"/>
      </w:tabs>
      <w:spacing w:before="240" w:after="0"/>
      <w:outlineLvl w:val="2"/>
    </w:pPr>
    <w:rPr>
      <w:rFonts w:ascii="Roboto" w:eastAsiaTheme="majorEastAsia" w:hAnsi="Roboto" w:cstheme="majorBidi"/>
      <w:b/>
      <w:color w:val="2A60DA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2AA5"/>
    <w:pPr>
      <w:keepNext/>
      <w:keepLines/>
      <w:tabs>
        <w:tab w:val="right" w:pos="9639"/>
      </w:tabs>
      <w:spacing w:before="40" w:after="0"/>
      <w:outlineLvl w:val="3"/>
    </w:pPr>
    <w:rPr>
      <w:rFonts w:ascii="Roboto" w:eastAsiaTheme="majorEastAsia" w:hAnsi="Roboto" w:cstheme="majorBidi"/>
      <w:b/>
      <w:iCs/>
      <w:color w:val="404040" w:themeColor="text1" w:themeTint="BF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76510"/>
    <w:pPr>
      <w:keepNext/>
      <w:keepLines/>
      <w:tabs>
        <w:tab w:val="right" w:pos="9639"/>
      </w:tabs>
      <w:spacing w:before="80" w:after="0"/>
      <w:outlineLvl w:val="4"/>
    </w:pPr>
    <w:rPr>
      <w:rFonts w:ascii="Roboto" w:eastAsiaTheme="majorEastAsia" w:hAnsi="Roboto" w:cstheme="majorBidi"/>
      <w:b/>
      <w:color w:val="386BD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52D"/>
    <w:rPr>
      <w:rFonts w:ascii="Roboto" w:eastAsiaTheme="majorEastAsia" w:hAnsi="Roboto" w:cstheme="majorBidi"/>
      <w:color w:val="2A60DA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2AA5"/>
    <w:rPr>
      <w:rFonts w:ascii="Roboto" w:eastAsiaTheme="majorEastAsia" w:hAnsi="Roboto" w:cstheme="majorBidi"/>
      <w:b/>
      <w:color w:val="2239AE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6510"/>
    <w:rPr>
      <w:rFonts w:ascii="Roboto" w:eastAsiaTheme="majorEastAsia" w:hAnsi="Roboto" w:cstheme="majorBidi"/>
      <w:b/>
      <w:color w:val="2A60DA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F2AA5"/>
    <w:rPr>
      <w:rFonts w:ascii="Roboto" w:eastAsiaTheme="majorEastAsia" w:hAnsi="Roboto" w:cstheme="majorBidi"/>
      <w:b/>
      <w:iCs/>
      <w:color w:val="404040" w:themeColor="text1" w:themeTint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976510"/>
    <w:rPr>
      <w:rFonts w:ascii="Roboto" w:eastAsiaTheme="majorEastAsia" w:hAnsi="Roboto" w:cstheme="majorBidi"/>
      <w:b/>
      <w:color w:val="386BDC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448"/>
    <w:pPr>
      <w:spacing w:after="0" w:line="240" w:lineRule="auto"/>
      <w:contextualSpacing/>
      <w:jc w:val="center"/>
    </w:pPr>
    <w:rPr>
      <w:rFonts w:ascii="Roboto" w:eastAsiaTheme="majorEastAsia" w:hAnsi="Roboto" w:cstheme="majorBidi"/>
      <w:b/>
      <w:color w:val="2239AE"/>
      <w:spacing w:val="-10"/>
      <w:kern w:val="28"/>
      <w:sz w:val="50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A0448"/>
    <w:rPr>
      <w:rFonts w:ascii="Roboto" w:eastAsiaTheme="majorEastAsia" w:hAnsi="Roboto" w:cstheme="majorBidi"/>
      <w:b/>
      <w:color w:val="2239AE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F4E"/>
    <w:pPr>
      <w:numPr>
        <w:ilvl w:val="1"/>
      </w:numPr>
      <w:spacing w:after="0"/>
      <w:jc w:val="center"/>
    </w:pPr>
    <w:rPr>
      <w:rFonts w:ascii="Roboto" w:eastAsiaTheme="majorEastAsia" w:hAnsi="Roboto" w:cstheme="majorBidi"/>
      <w:color w:val="2A60DA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F4E"/>
    <w:rPr>
      <w:rFonts w:ascii="Lora" w:eastAsiaTheme="majorEastAsia" w:hAnsi="Lora" w:cstheme="majorBidi"/>
      <w:color w:val="7F7F7F" w:themeColor="text1" w:themeTint="80"/>
      <w:spacing w:val="15"/>
      <w:sz w:val="2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CD6"/>
    <w:pPr>
      <w:jc w:val="center"/>
    </w:pPr>
    <w:rPr>
      <w:iCs/>
      <w:color w:val="595959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444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C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4D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DF9"/>
    <w:rPr>
      <w:color w:val="605E5C"/>
      <w:shd w:val="clear" w:color="auto" w:fill="E1DFDD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2026-02-21T12:10:53Z</dcterms:created>
  <dcterms:modified xsi:type="dcterms:W3CDTF">2026-02-21T12:10:53Z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