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AD68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gynecology</w:t>
      </w:r>
      <w:proofErr w:type="spellEnd"/>
      <w:proofErr w:type="gramEnd"/>
      <w:r w:rsidRPr="00AD68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health talk topics</w:t>
      </w: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their importance in two lines each: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Menstrual Health &amp; Hygiene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Irregular or painful periods can signal underlying issues.</w:t>
      </w: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Proper hygiene prevents infections and promotes reproductive health.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PCOS (Polycystic Ovary Syndrome)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hormonal disorder affecting cycles and fertility.</w:t>
      </w:r>
      <w:proofErr w:type="gramEnd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management prevents diabetes, obesity, and heart risks.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Cervical Cancer Awareness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caused by persistent HPV infection.</w:t>
      </w:r>
      <w:proofErr w:type="gramEnd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Regular Pap smears and HPV vaccination save lives.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Breast Health &amp; Self-Examination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lumps or changes need medical evaluation.</w:t>
      </w: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detection greatly improves survival rates.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Family Planning &amp; Contraception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Empowers women to plan safe pregnancies.</w:t>
      </w:r>
      <w:proofErr w:type="gramEnd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unintended pregnancies and maternal complications.</w:t>
      </w:r>
      <w:proofErr w:type="gramEnd"/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Pregnancy Care (Antenatal Care)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check-ups ensure mother and baby’s safety.</w:t>
      </w: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detection prevents high-risk complications.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Menopause &amp; Hormonal Changes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Natural phase causing physical and emotional symptoms.</w:t>
      </w:r>
      <w:proofErr w:type="gramEnd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Proper guidance improves quality of life.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8) Vaginal Infections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but often ignored health issue.</w:t>
      </w: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Timely treatment prevents chronic complications.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9) Infertility Awareness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Can affect both partners equally.</w:t>
      </w:r>
      <w:proofErr w:type="gramEnd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evaluation improves treatment success.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10) </w:t>
      </w:r>
      <w:proofErr w:type="spellStart"/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Anemia</w:t>
      </w:r>
      <w:proofErr w:type="spellEnd"/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Women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common due to menstrual blood loss and nutrition gaps.</w:t>
      </w:r>
      <w:proofErr w:type="gramEnd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Untreated </w:t>
      </w:r>
      <w:proofErr w:type="spellStart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anemia</w:t>
      </w:r>
      <w:proofErr w:type="spellEnd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causes fatigue and pregnancy risks.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is for an </w:t>
      </w:r>
      <w:r w:rsidRPr="00AD68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women’s health program</w:t>
      </w: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, I can also format it into a camp talk outline, poster content, or seminar slides.</w:t>
      </w:r>
    </w:p>
    <w:p w:rsidR="00AA59C5" w:rsidRDefault="00AD68CB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8CB"/>
    <w:rsid w:val="001E4C02"/>
    <w:rsid w:val="007A3331"/>
    <w:rsid w:val="00AD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68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68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D6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D68C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68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68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D6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D68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7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2026-03-04T18:49:00Z</dcterms:created>
  <dcterms:modified xsi:type="dcterms:W3CDTF">2026-03-04T18:53:00Z</dcterms:modified>
</cp:coreProperties>
</file>