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40"/>
        </w:rPr>
        <w:t>Mapa bibliográfico de la tesis: CMV en receptores de trasplante pulmonar</w:t>
      </w:r>
    </w:p>
    <w:p>
      <w:pPr>
        <w:spacing w:after="400"/>
        <w:jc w:val="center"/>
      </w:pPr>
      <w:r>
        <w:rPr>
          <w:i/>
          <w:sz w:val="26"/>
        </w:rPr>
        <w:t>Referencias por temática y año, con valoración para la discusión</w:t>
        <w:br/>
        <w:t>Hospital Universitario 12 de Octubre</w:t>
      </w:r>
    </w:p>
    <w:p>
      <w:pPr>
        <w:keepNext/>
        <w:spacing w:before="360" w:after="160"/>
      </w:pPr>
      <w:r>
        <w:rPr>
          <w:b/>
          <w:sz w:val="28"/>
        </w:rPr>
        <w:t>Cómo usar este documento</w:t>
      </w:r>
    </w:p>
    <w:p>
      <w:pPr>
        <w:spacing w:after="120"/>
      </w:pPr>
      <w:r>
        <w:rPr>
          <w:b w:val="0"/>
          <w:i w:val="0"/>
          <w:sz w:val="22"/>
        </w:rPr>
        <w:t>Este documento agrupa las 229 referencias del archivo LITERATURAv5.json en bloques temáticos alineados con la estructura de la discusión de la tesis (apartados 6.1 a 6.8 más bloques transversales). Dentro de cada subapartado las referencias se ordenan por año de publicación. Cada bloque temático se abre con un resumen cronológico de hitos.</w:t>
      </w:r>
    </w:p>
    <w:p>
      <w:pPr>
        <w:spacing w:after="120"/>
      </w:pPr>
      <w:r>
        <w:rPr>
          <w:b w:val="0"/>
          <w:i w:val="0"/>
          <w:sz w:val="22"/>
        </w:rPr>
        <w:t>Para cada referencia: en negro se listan las ideas o hallazgos principales como guiones (un guion por idea); en azul, debajo de cada idea, se indica si y cómo puede usarse para la discusión (apoya, contradice, permite comparar, sirve para una hipótesis, contexto, etc.).</w:t>
      </w:r>
    </w:p>
    <w:p>
      <w:pPr>
        <w:spacing w:after="120"/>
      </w:pPr>
      <w:r>
        <w:rPr>
          <w:b w:val="0"/>
          <w:i w:val="0"/>
          <w:sz w:val="22"/>
        </w:rPr>
        <w:t>Las referencias para las que existe PDF en el proyecto están marcadas como [PDF leído] y se han leído íntegras siempre que el contenido aporta más allá del abstract. Las marcadas como [Solo abstract] se han trabajado a partir del abstract del JSON; en los casos en que el abstract no permitía extraer ideas suficientes, se indica explícitamente y se sugiere proporcionar el PDF para profundizar.</w:t>
      </w:r>
    </w:p>
    <w:p>
      <w:pPr>
        <w:spacing w:after="120"/>
      </w:pPr>
      <w:r>
        <w:rPr>
          <w:b w:val="0"/>
          <w:i/>
          <w:sz w:val="22"/>
        </w:rPr>
        <w:t>Las cifras y datos numéricos no inventados: los datos provienen exclusivamente del JSON o de los PDFs. Cuando se indica un dato concreto, este ha sido extraído literalmente del abstract o del cuerpo del PDF.</w:t>
      </w:r>
    </w:p>
    <w:p>
      <w:pPr>
        <w:keepNext/>
        <w:spacing w:before="360" w:after="160"/>
      </w:pPr>
      <w:r>
        <w:rPr>
          <w:b/>
          <w:sz w:val="28"/>
        </w:rPr>
        <w:t>Anclaje: resultados-clave de la tesis para los que se valoran las referencias</w:t>
      </w:r>
    </w:p>
    <w:p>
      <w:pPr>
        <w:keepNext/>
        <w:spacing w:before="240" w:after="120"/>
      </w:pPr>
      <w:r>
        <w:rPr>
          <w:b/>
          <w:sz w:val="24"/>
        </w:rPr>
        <w:t>Estudio 1 — genotipado gB/gH en 146 RTP (234 episodios, 483 muestras, 2008-2022)</w:t>
      </w:r>
    </w:p>
    <w:p>
      <w:pPr>
        <w:spacing w:after="120"/>
      </w:pPr>
      <w:r>
        <w:rPr>
          <w:b w:val="0"/>
          <w:i w:val="0"/>
          <w:sz w:val="22"/>
        </w:rPr>
        <w:t>Cohorte HU12O. Distribución por episodio: gB único 74,8% (gB1 39,4%, gB3 30,9%, gB2 18,9%, gB4 10,9%); gH único 79,5% (gH1 50,5%, gH2 49,5%); mixtos gB 25,2%, mixtos gH 20,5%, mixtos gB+gH 31,6%.</w:t>
      </w:r>
    </w:p>
    <w:p>
      <w:pPr>
        <w:spacing w:after="120"/>
      </w:pPr>
      <w:r>
        <w:rPr>
          <w:b w:val="0"/>
          <w:i w:val="0"/>
          <w:sz w:val="22"/>
        </w:rPr>
        <w:t>Asociación gB-gH no aleatoria: V Cramér 0,392; p&lt;0,001. Patrones predominantes gB1-gH2 y gB2/gB3/gB4-gH1 (gB4 con gH1 en 90,2%).</w:t>
      </w:r>
    </w:p>
    <w:p>
      <w:pPr>
        <w:spacing w:after="120"/>
      </w:pPr>
      <w:r>
        <w:rPr>
          <w:b w:val="0"/>
          <w:i w:val="0"/>
          <w:sz w:val="22"/>
        </w:rPr>
        <w:t>Genotipos únicos y cinética: gB3 con aclaramiento más prolongado (40 días vs 25 gB1, 23 gB2, 29 gB4; Kruskal-Wallis p=0,002) y AUC mayor (Kruskal-Wallis p=0,046, χ²=7,98; Dunn-Bonferroni gB3 vs gB1 p=0,021); gH1 vs gH2 sin diferencias.</w:t>
      </w:r>
    </w:p>
    <w:p>
      <w:pPr>
        <w:spacing w:after="120"/>
      </w:pPr>
      <w:r>
        <w:rPr>
          <w:b w:val="0"/>
          <w:i w:val="0"/>
          <w:sz w:val="22"/>
        </w:rPr>
        <w:t>Mixtos vs únicos: aclaramiento prolongado en gB (37 vs 27 días; p&lt;0,001), gH (38 vs 28; p=0,020), gB+gH (37 vs 26; p&lt;0,001). gH mixtos con CV pico mayor (6.308 vs 3.474 UI/mL; p=0,005). Modelo multivariante: mixtos gB+gH +22 días aclaramiento (IC 5,5-38,5; p=0,009).</w:t>
      </w:r>
    </w:p>
    <w:p>
      <w:pPr>
        <w:spacing w:after="120"/>
      </w:pPr>
      <w:r>
        <w:rPr>
          <w:b w:val="0"/>
          <w:i w:val="0"/>
          <w:sz w:val="22"/>
        </w:rPr>
        <w:t>Variabilidad: 100% estabilidad en únicos; 83,3% variabilidad en mixtos. Patrón dominante estable + minoritarios fluctuantes; cambios completos del patrón solo 2,9% intraepisodio y 4,8% interepisodio. Genotipos fluctuantes con Ct más altos (CV genotipo-específica menor; p&lt;0,001).</w:t>
      </w:r>
    </w:p>
    <w:p>
      <w:pPr>
        <w:spacing w:after="120"/>
      </w:pPr>
      <w:r>
        <w:rPr>
          <w:b w:val="0"/>
          <w:i w:val="0"/>
          <w:sz w:val="22"/>
        </w:rPr>
        <w:t>Subanálisis serológico (8 RTP con mixtos gB1+gB2): 6/7 donantes IgG+ para ambos gB; 4/5 receptores IgG+ para ambos. AR1 (D+/R-): primoinfección + R a ganciclovir (mutaciones C592G y L595S en UL97). AR3 (D+/R- con donante seronegativo gB1/gB2): único caso de enfermedad órgano-específica (gastritis CMV). MR5 (D-/R+): patrón compatible con reactivación.</w:t>
      </w:r>
    </w:p>
    <w:p>
      <w:pPr>
        <w:spacing w:after="120"/>
      </w:pPr>
      <w:r>
        <w:rPr>
          <w:b w:val="0"/>
          <w:i w:val="0"/>
          <w:sz w:val="22"/>
        </w:rPr>
        <w:t>Desenlaces: enfermedad sintomática y DCIP no asociadas a mixtos. Recurrencia a 12 meses asociada a mixtos del primer episodio: gB+gH HR ajustado 2,01 (p=0,036); gH HR 2,31 (p=0,017). Neoplasias: HR ajustado tumores sólidos no cutáneos 2,86 (1,15-7,11; p=0,024); en 68,4% el episodio mixto precedió al diagnóstico. gB3 NO se asoció con neoplasia (HR 0,62; p=0,394). Mayor número de DNAemias en mixtos (IRR ajustado 1,28; p=0,026). Tendencia a mayor mortalidad en mixtos (HR ajustado 1,55; p=0,139), mantenida tras censurar muertes COVID (HR 1,48; p=0,175).</w:t>
      </w:r>
    </w:p>
    <w:p>
      <w:pPr>
        <w:keepNext/>
        <w:spacing w:before="240" w:after="120"/>
      </w:pPr>
      <w:r>
        <w:rPr>
          <w:b/>
          <w:sz w:val="24"/>
        </w:rPr>
        <w:t>Estudio 2 — NGS en 11 RTP (2022-2024)</w:t>
      </w:r>
    </w:p>
    <w:p>
      <w:pPr>
        <w:spacing w:after="120"/>
      </w:pPr>
      <w:r>
        <w:rPr>
          <w:b w:val="0"/>
          <w:i w:val="0"/>
          <w:sz w:val="22"/>
        </w:rPr>
        <w:t>Plataforma DeepCheck CMV v2.0 (Ion Torrent); clasificación CHARMD (Tilloy 2024); umbrales ≥5%, ≥10%, ≥15% (reporte clínico) y ≥20% (Sanger-equivalente).</w:t>
      </w:r>
    </w:p>
    <w:p>
      <w:pPr>
        <w:spacing w:after="120"/>
      </w:pPr>
      <w:r>
        <w:rPr>
          <w:b w:val="0"/>
          <w:i w:val="0"/>
          <w:sz w:val="22"/>
        </w:rPr>
        <w:t>MRA solo en RTP-2 (D+/R- mal clasificada como D-/R-, sin profilaxis primaria). UL97: A594V (10/14, GCV-R), T409M y H411Y (MBV-R). UL54: T503I (8/12, GCV+CDV-R). UL56: ninguna MRA. T409M apareció antes del inicio formal de maribavir.</w:t>
      </w:r>
    </w:p>
    <w:p>
      <w:pPr>
        <w:spacing w:after="120"/>
      </w:pPr>
      <w:r>
        <w:rPr>
          <w:b w:val="0"/>
          <w:i w:val="0"/>
          <w:sz w:val="22"/>
        </w:rPr>
        <w:t>PN: UL97 8 PN (T75A, Q126L casi en todos), UL54 12 PN (algunos paciente-específicos: N1116H solo en RTP-2; R1149T, S24L, N1147S solo en RTP-1; N1147S a 8,1%, atípico para PN), UL56 3 PN.</w:t>
      </w:r>
    </w:p>
    <w:p>
      <w:pPr>
        <w:spacing w:after="120"/>
      </w:pPr>
      <w:r>
        <w:rPr>
          <w:b w:val="0"/>
          <w:i w:val="0"/>
          <w:sz w:val="22"/>
        </w:rPr>
        <w:t>VSI (solo RTP-2 ≥5%): F396L UL54 (12,9%; identificada en Chou 2014 entre 110 variantes no caracterizadas); D605E UL97 (5,7%; reclasificada como PN tras revisión: Boutolleau 2011 sin exposición previa, Chou 2005 sin alteración de susceptibilidad, Tamura 2021 86,4% en pacientes asiáticos sin exposición).</w:t>
      </w:r>
    </w:p>
    <w:p>
      <w:pPr>
        <w:spacing w:after="120"/>
      </w:pPr>
      <w:r>
        <w:rPr>
          <w:b w:val="0"/>
          <w:i w:val="0"/>
          <w:sz w:val="22"/>
        </w:rPr>
        <w:t>VND: 25 UL97, 67 UL54, 9 UL56 a ≥5%. Destacadas UL97: W424* RTP-2 m4 a 23,9% (codón parada en hotspot MBV-R, antes de maribavir); A497P en 4 pacientes/persistente RTP-2; C701* RTP-2 m3-m4. UL54: A1164V RTP-4 a 99,4% próxima NLS; D854G/S913G RTP-2 m4 polimerasa; A457P RTP-10 25,3% exonucleasa. UL56: R513C RTP-11 m2 a 22,4% adyacente a unión UL56-UL89; Y281H RTP-2 m13 hotspot LMV.</w:t>
      </w:r>
    </w:p>
    <w:p>
      <w:r>
        <w:br w:type="page"/>
      </w:r>
    </w:p>
    <w:p>
      <w:pPr>
        <w:keepNext/>
        <w:spacing w:before="480" w:after="240"/>
      </w:pPr>
      <w:r>
        <w:rPr>
          <w:b/>
          <w:sz w:val="36"/>
        </w:rPr>
        <w:t>Sección transversal: guías clínicas, revisiones generales, contexto y estándares</w:t>
      </w:r>
    </w:p>
    <w:p>
      <w:pPr>
        <w:keepNext/>
        <w:spacing w:before="360" w:after="160"/>
      </w:pPr>
      <w:r>
        <w:rPr>
          <w:b/>
          <w:sz w:val="28"/>
        </w:rPr>
        <w:t>Guías clínicas y consensos para el manejo de CMV en TOS y TPH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2013 </w:t>
      </w:r>
      <w:r>
        <w:rPr>
          <w:b/>
          <w:i/>
          <w:sz w:val="20"/>
        </w:rPr>
        <w:t xml:space="preserve">— Primer consenso internacional CMV-TOS: </w:t>
      </w:r>
      <w:r>
        <w:rPr>
          <w:sz w:val="20"/>
        </w:rPr>
        <w:t>Kotton et al. publican las primeras guías internacionales unificadas.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Guía SET/GESITRA-SEIMC/REIPI: </w:t>
      </w:r>
      <w:r>
        <w:rPr>
          <w:sz w:val="20"/>
        </w:rPr>
        <w:t>Primera guía española completa de CMV en TOS (Torre-Cisneros et al.).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Manejo en centros europeos: </w:t>
      </w:r>
      <w:r>
        <w:rPr>
          <w:sz w:val="20"/>
        </w:rPr>
        <w:t>Navarro et al. revisan la heterogeneidad real entre centros.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Guía AST anterior y guía ECIL: </w:t>
      </w:r>
      <w:r>
        <w:rPr>
          <w:sz w:val="20"/>
        </w:rPr>
        <w:t>Razonable y Humar; Ljungman et al. para TPH.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Definiciones de consenso y guía GESITRA-SEIMC: </w:t>
      </w:r>
      <w:r>
        <w:rPr>
          <w:sz w:val="20"/>
        </w:rPr>
        <w:t>Ljungman 2024 actualiza las definiciones de infección/enfermedad; Ruiz-Arabí 2024 actualiza la guía española.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Updates IDSA/ASM: </w:t>
      </w:r>
      <w:r>
        <w:rPr>
          <w:sz w:val="20"/>
        </w:rPr>
        <w:t>Miller et al. publican la guía de utilización del laboratorio. Stewart 2023 actualiza el panorama.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Cuarto consenso internacional: </w:t>
      </w:r>
      <w:r>
        <w:rPr>
          <w:sz w:val="20"/>
        </w:rPr>
        <w:t>Kotton et al. publican la cuarta edición de las guías internacionales en TOS.</w:t>
      </w:r>
    </w:p>
    <w:p>
      <w:pPr>
        <w:keepNext/>
        <w:spacing w:before="200" w:after="40"/>
      </w:pPr>
      <w:r>
        <w:rPr>
          <w:b/>
          <w:sz w:val="22"/>
        </w:rPr>
        <w:t xml:space="preserve">Torre-Cisneros et al. (2016). </w:t>
      </w:r>
      <w:r>
        <w:rPr>
          <w:sz w:val="22"/>
        </w:rPr>
        <w:t xml:space="preserve">Management of cytomegalovirus infection in solid organ transplant recipients: SET/GESITRA-SEIMC/REIPI recommendations. </w:t>
      </w:r>
      <w:r>
        <w:rPr>
          <w:i/>
          <w:sz w:val="22"/>
        </w:rPr>
        <w:t>Transplantation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[torre-cisneros2016]</w:t>
      </w:r>
    </w:p>
    <w:p>
      <w:pPr>
        <w:spacing w:after="40"/>
        <w:ind w:left="283"/>
      </w:pPr>
      <w:r>
        <w:rPr>
          <w:sz w:val="22"/>
        </w:rPr>
        <w:t>— Recomendaciones consensuadas SET/GESITRA-SEIMC/REIPI para CMV en TOS, con aproximación profilaxis vs preemptiva, pautas serológicas D/R y duración de profilaxis para riesgo alto.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Contexto regulatorio nacional. Permite encuadrar la profilaxis primaria de hasta 12 meses en RTP D+/R- empleada en HU12O y discutir la coherencia del manejo de tu cohorte con las guías vigentes en el periodo del estudio.</w:t>
      </w:r>
    </w:p>
    <w:p>
      <w:pPr>
        <w:keepNext/>
        <w:spacing w:before="200" w:after="40"/>
      </w:pPr>
      <w:r>
        <w:rPr>
          <w:b/>
          <w:sz w:val="22"/>
        </w:rPr>
        <w:t xml:space="preserve">Navarro et al. (2017). </w:t>
      </w:r>
      <w:r>
        <w:rPr>
          <w:sz w:val="22"/>
        </w:rPr>
        <w:t xml:space="preserve">Cytomegalovirus infection management in solid organ transplant recipients across European centers in the time of molecular diagnostics: An &lt;span style="font-variant:small-caps;"&gt;ESGICH&lt;/span&gt; survey.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[navarro2017]</w:t>
      </w:r>
    </w:p>
    <w:p>
      <w:pPr>
        <w:spacing w:after="40"/>
        <w:ind w:left="283"/>
      </w:pPr>
      <w:r>
        <w:rPr>
          <w:sz w:val="22"/>
        </w:rPr>
        <w:t>— Encuesta sobre el manejo de CMV en centros europeos de trasplante, mostrando heterogeneidad relevante en estrategias preventivas, monitorización y duración de profilaxis.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Útil para contextualizar que la diversidad de criterios entre periodos en tu cohorte (cambios de plataforma, duración de profilaxis) refleja la realidad del campo.</w:t>
      </w:r>
    </w:p>
    <w:p>
      <w:pPr>
        <w:keepNext/>
        <w:spacing w:before="200" w:after="40"/>
      </w:pPr>
      <w:r>
        <w:rPr>
          <w:b/>
          <w:sz w:val="22"/>
        </w:rPr>
        <w:t xml:space="preserve">Razonable y Humar (2019). </w:t>
      </w:r>
      <w:r>
        <w:rPr>
          <w:sz w:val="22"/>
        </w:rPr>
        <w:t xml:space="preserve">Cytomegalovirus in solid organ transplant recipients—Guidelines of the American Society of Transplantation Infectious Diseases Community of Practice. </w:t>
      </w:r>
      <w:r>
        <w:rPr>
          <w:i/>
          <w:sz w:val="22"/>
        </w:rPr>
        <w:t>Clinical Transplantation.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[razonable2019]</w:t>
      </w:r>
    </w:p>
    <w:p>
      <w:pPr>
        <w:spacing w:after="40"/>
        <w:ind w:left="283"/>
      </w:pPr>
      <w:r>
        <w:rPr>
          <w:sz w:val="22"/>
        </w:rPr>
        <w:t>— Guía AST 2019 para CMV en TOS: estratifica el riesgo principalmente por seroestatus D/R; recomienda profilaxis universal o preemptiva según centro y riesgo; recoge dosis y duración de valganciclovir; aborda el manejo de R/r y el uso de letermovir y maribavir como rescate.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Permite enmarcar el cuadro de profilaxis y tratamiento descrito en tu Material y Métodos y la pertinencia de la NGS en pacientes con replicación persistente bajo presión antiviral.</w:t>
      </w:r>
    </w:p>
    <w:p>
      <w:pPr>
        <w:spacing w:after="40"/>
        <w:ind w:left="283"/>
      </w:pPr>
      <w:r>
        <w:rPr>
          <w:sz w:val="22"/>
        </w:rPr>
        <w:t>— La guía dedica énfasis a que la sobreestimación de inmunidad celular y la individualización con CMI son aún experimentales en 2019.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Útil para situar el momento histórico en que se desarrollaron tus episodios analizados (2008-2022) y justificar por qué el seguimiento se basó en seroestatus + CV.</w:t>
      </w:r>
    </w:p>
    <w:p>
      <w:pPr>
        <w:keepNext/>
        <w:spacing w:before="200" w:after="40"/>
      </w:pPr>
      <w:r>
        <w:rPr>
          <w:b/>
          <w:sz w:val="22"/>
        </w:rPr>
        <w:t xml:space="preserve">Ljungman et al. (2019). </w:t>
      </w:r>
      <w:r>
        <w:rPr>
          <w:sz w:val="22"/>
        </w:rPr>
        <w:t xml:space="preserve">Guidelines for the management of cytomegalovirus infection in patients with haematological malignancies and after stem cell transplantation from the 2017 European Conference on Infections in Leukaemia (ECIL 7). </w:t>
      </w:r>
      <w:r>
        <w:rPr>
          <w:i/>
          <w:sz w:val="22"/>
        </w:rPr>
        <w:t>The Lancet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[ljungman2019]</w:t>
      </w:r>
    </w:p>
    <w:p>
      <w:pPr>
        <w:spacing w:after="40"/>
        <w:ind w:left="283"/>
      </w:pPr>
      <w:r>
        <w:rPr>
          <w:sz w:val="22"/>
        </w:rPr>
        <w:t>— Guías ECIL para el manejo de CMV en pacientes hematológicos: definiciones operativas, profilaxis con letermovir en alo-TPH, manejo del CMV refractario/resistente y rol de NGS para detección de mutaciones minoritarias.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Aunque la cohorte de la tesis es exclusivamente RTP, las guías ECIL son referencia para la metodología y las definiciones técnicas, especialmente las que adoptas para definir DNAemia clínicamente significativa.</w:t>
      </w:r>
    </w:p>
    <w:p>
      <w:pPr>
        <w:keepNext/>
        <w:spacing w:before="200" w:after="40"/>
      </w:pPr>
      <w:r>
        <w:rPr>
          <w:b/>
          <w:sz w:val="22"/>
        </w:rPr>
        <w:t xml:space="preserve">Stewart y Kotton (2023). </w:t>
      </w:r>
      <w:r>
        <w:rPr>
          <w:sz w:val="22"/>
        </w:rPr>
        <w:t xml:space="preserve">What’s New: Updates on Cytomegalovirus in Solid Organ Transplantation. </w:t>
      </w:r>
      <w:r>
        <w:rPr>
          <w:i/>
          <w:sz w:val="22"/>
        </w:rPr>
        <w:t>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[stewart2023]</w:t>
      </w:r>
    </w:p>
    <w:p>
      <w:pPr>
        <w:spacing w:after="40"/>
        <w:ind w:left="283"/>
      </w:pPr>
      <w:r>
        <w:rPr>
          <w:sz w:val="22"/>
        </w:rPr>
        <w:t>— Revisión 2023 sobre actualizaciones en el manejo de CMV en TOS: nuevas opciones farmacológicas (letermovir y maribavir), papel emergente de la NGS en la detección precoz de resistencias y discusión de la inmunidad celular como herramienta de individualización.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Excelente referencia para encuadrar cronológicamente la introducción de la NGS en el sistema asistencial del HU12O y la motivación de tu Estudio 2.</w:t>
      </w:r>
    </w:p>
    <w:p>
      <w:pPr>
        <w:keepNext/>
        <w:spacing w:before="200" w:after="40"/>
      </w:pPr>
      <w:r>
        <w:rPr>
          <w:b/>
          <w:sz w:val="22"/>
        </w:rPr>
        <w:t xml:space="preserve">Ljungman et al. (2024). </w:t>
      </w:r>
      <w:r>
        <w:rPr>
          <w:sz w:val="22"/>
        </w:rPr>
        <w:t xml:space="preserve">Consensus Definitions of Cytomegalovirus (CMV) Infection and Disease in Transplant Patients Including Resistant and Refractory CMV for Use in Clinical Trials: 2024 Update From the Transplant Associated Virus Infections Forum.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[ljungman2024]</w:t>
      </w:r>
    </w:p>
    <w:p>
      <w:pPr>
        <w:spacing w:after="40"/>
        <w:ind w:left="283"/>
      </w:pPr>
      <w:r>
        <w:rPr>
          <w:sz w:val="22"/>
        </w:rPr>
        <w:t>— Definiciones consensuadas actualizadas de infección y enfermedad por CMV en pacientes trasplantados: distingue infección, DNAemia clínicamente significativa, síndrome viral y enfermedad órgano-específica con criterios homogéneos.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Te permite alinear tu definición de episodio con CV ≥1.000 UI/mL y tu clasificación de enfermedad sintomática (síndrome viral, enfermedad órgano-específica posible/confirmada) con la terminología canónica vigente.</w:t>
      </w:r>
    </w:p>
    <w:p>
      <w:pPr>
        <w:keepNext/>
        <w:spacing w:before="200" w:after="40"/>
      </w:pPr>
      <w:r>
        <w:rPr>
          <w:b/>
          <w:sz w:val="22"/>
        </w:rPr>
        <w:t xml:space="preserve">Miller et al. (2024). </w:t>
      </w:r>
      <w:r>
        <w:rPr>
          <w:sz w:val="22"/>
        </w:rPr>
        <w:t xml:space="preserve">Guide to Utilization of the Microbiology Laboratory for Diagnosis of Infectious Diseases: 2024 Update by the Infectious Diseases Society of America (IDSA) and the American Society for Microbiology (ASM).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[miller2024]</w:t>
      </w:r>
    </w:p>
    <w:p>
      <w:pPr>
        <w:spacing w:after="40"/>
        <w:ind w:left="283"/>
      </w:pPr>
      <w:r>
        <w:rPr>
          <w:sz w:val="22"/>
        </w:rPr>
        <w:t>— Guía IDSA/ASM de utilización del laboratorio de microbiología para el diagnóstico de enfermedades infecciosas: recomienda PCR cuantitativa calibrada al estándar OMS para CMV y describe limitaciones de los tests serológicos y de antigenemia.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tu transición técnica entre antigenemia/PCR y entre plataformas calibradas en UI/mL.</w:t>
      </w:r>
    </w:p>
    <w:p>
      <w:pPr>
        <w:keepNext/>
        <w:spacing w:before="200" w:after="40"/>
      </w:pPr>
      <w:r>
        <w:rPr>
          <w:b/>
          <w:sz w:val="22"/>
        </w:rPr>
        <w:t xml:space="preserve">Ruiz-Arabi et al. (2024). </w:t>
      </w:r>
      <w:r>
        <w:rPr>
          <w:sz w:val="22"/>
        </w:rPr>
        <w:t xml:space="preserve">Management of cytomegalovirus in adult solid organ transplant patients: GESITRA-IC-SEIMC, CIBERINFEC, and SET recommendations update. </w:t>
      </w:r>
      <w:r>
        <w:rPr>
          <w:i/>
          <w:sz w:val="22"/>
        </w:rPr>
        <w:t>Transplantation Reviews.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[ruiz-arabi2024]</w:t>
      </w:r>
    </w:p>
    <w:p>
      <w:pPr>
        <w:spacing w:after="40"/>
        <w:ind w:left="283"/>
      </w:pPr>
      <w:r>
        <w:rPr>
          <w:sz w:val="22"/>
        </w:rPr>
        <w:t>— Guía actualizada GESITRA-IC-SEIMC para CMV en TOS adulto. Incluye nuevas indicaciones de letermovir como profilaxis en alto riesgo, posición de maribavir como rescate en CMV R/r, y recomendaciones específicas para optimizar el seguimiento por CV cuantitativa.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Es la guía nacional más actual y aplicable a la práctica del HU12O. Soporta la coherencia de las pautas profilácticas y terapéuticas administradas en tu cohorte de RTP.</w:t>
      </w:r>
    </w:p>
    <w:p>
      <w:pPr>
        <w:keepNext/>
        <w:spacing w:before="200" w:after="40"/>
      </w:pPr>
      <w:r>
        <w:rPr>
          <w:b/>
          <w:sz w:val="22"/>
        </w:rPr>
        <w:t xml:space="preserve">Kotton et al. (2025). </w:t>
      </w:r>
      <w:r>
        <w:rPr>
          <w:sz w:val="22"/>
        </w:rPr>
        <w:t xml:space="preserve">The Fourth International Consensus Guidelines on the Management of Cytomegalovirus in Solid Organ Transplantation. </w:t>
      </w:r>
      <w:r>
        <w:rPr>
          <w:i/>
          <w:sz w:val="22"/>
        </w:rPr>
        <w:t>Transplantation.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[kotton2025]</w:t>
      </w:r>
    </w:p>
    <w:p>
      <w:pPr>
        <w:spacing w:after="40"/>
        <w:ind w:left="283"/>
      </w:pPr>
      <w:r>
        <w:rPr>
          <w:sz w:val="22"/>
        </w:rPr>
        <w:t>— Cuarto consenso internacional sobre CMV en TOS (2025). Incorpora cambios sustanciales: ampliación del rol de letermovir como profilaxis primaria en alto riesgo, posicionamiento de maribavir como tratamiento de elección en CMV R/r y de inmunoglobulina específica como adyuvante en pacientes seleccionados.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Referencia obligada para discutir la pertinencia y oportunidad de las decisiones terapéuticas tomadas en RTP-2 (estudio 2), incluyendo la transición secuencial GCV→VGCV→MBV→LEF→FOS→LMV.</w:t>
      </w:r>
    </w:p>
    <w:p>
      <w:pPr>
        <w:keepNext/>
        <w:spacing w:before="360" w:after="160"/>
      </w:pPr>
      <w:r>
        <w:rPr>
          <w:b/>
          <w:sz w:val="28"/>
        </w:rPr>
        <w:t>Revisiones generales sobre HCMV: biología, patogenia y diversidad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2015 </w:t>
      </w:r>
      <w:r>
        <w:rPr>
          <w:b/>
          <w:i/>
          <w:sz w:val="20"/>
        </w:rPr>
        <w:t xml:space="preserve">— HCMV: taking the strain: </w:t>
      </w:r>
      <w:r>
        <w:rPr>
          <w:sz w:val="20"/>
        </w:rPr>
        <w:t>Wilkinson et al. revisan la diversidad genómica de HCMV y sus implicaciones.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Evasión inmune por glucoproteínas: </w:t>
      </w:r>
      <w:r>
        <w:rPr>
          <w:sz w:val="20"/>
        </w:rPr>
        <w:t>Gardner y Tortorella sintetizan los mecanismos de evasión por proteínas de envoltura.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Entrada y tropismo: </w:t>
      </w:r>
      <w:r>
        <w:rPr>
          <w:sz w:val="20"/>
        </w:rPr>
        <w:t>Nguyen y Kamil revisan los complejos de entrada y el tropismo celular.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Patogénesis y panorama integrativo: </w:t>
      </w:r>
      <w:r>
        <w:rPr>
          <w:sz w:val="20"/>
        </w:rPr>
        <w:t>Berry et al.; Gugliesi et al.; Ye et al. integran inmunidad innata-adaptativa, perfil funcional de genes y avances de décadas.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Patogenia en huésped inmunocomprometido: </w:t>
      </w:r>
      <w:r>
        <w:rPr>
          <w:sz w:val="20"/>
        </w:rPr>
        <w:t>Griffiths y Reeves consolidan la revisión de referencia.</w:t>
      </w:r>
    </w:p>
    <w:p>
      <w:pPr>
        <w:keepNext/>
        <w:spacing w:before="200" w:after="40"/>
      </w:pPr>
      <w:r>
        <w:rPr>
          <w:b/>
          <w:sz w:val="22"/>
        </w:rPr>
        <w:t xml:space="preserve">Wilkinson et al. (2015). </w:t>
      </w:r>
      <w:r>
        <w:rPr>
          <w:sz w:val="22"/>
        </w:rPr>
        <w:t xml:space="preserve">Human cytomegalovirus: taking the strain. </w:t>
      </w:r>
      <w:r>
        <w:rPr>
          <w:i/>
          <w:sz w:val="22"/>
        </w:rPr>
        <w:t>Medical Microbiology and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[wilkinson2015]</w:t>
      </w:r>
    </w:p>
    <w:p>
      <w:pPr>
        <w:spacing w:after="40"/>
        <w:ind w:left="283"/>
      </w:pPr>
      <w:r>
        <w:rPr>
          <w:sz w:val="22"/>
        </w:rPr>
        <w:t>— HCMV se caracteriza por una diversidad genómica considerable, con polimorfismos extensos en al menos 20 ORF, principalmente en glucoproteínas de envoltura, y co-infecciones por múltiples cepas frecuentes en pacientes inmunocomprometidos.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tu hallazgo de 31,6% de mixtos gB+gH en RTP. Permite encuadrar la diversidad como característica intrínseca del virus, no como artefacto técnico.</w:t>
      </w:r>
    </w:p>
    <w:p>
      <w:pPr>
        <w:keepNext/>
        <w:spacing w:before="200" w:after="40"/>
      </w:pPr>
      <w:r>
        <w:rPr>
          <w:b/>
          <w:sz w:val="22"/>
        </w:rPr>
        <w:t xml:space="preserve">Gardner y Tortorella (2016). </w:t>
      </w:r>
      <w:r>
        <w:rPr>
          <w:sz w:val="22"/>
        </w:rPr>
        <w:t xml:space="preserve">Virion Glycoprotein-Mediated Immune Evasion by Human Cytomegalovirus: a Sticky Virus Makes a Slick Getaway. </w:t>
      </w:r>
      <w:r>
        <w:rPr>
          <w:i/>
          <w:sz w:val="22"/>
        </w:rPr>
        <w:t>Microbiology and Molecular Biology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[gardner2016]</w:t>
      </w:r>
    </w:p>
    <w:p>
      <w:pPr>
        <w:spacing w:after="40"/>
        <w:ind w:left="283"/>
      </w:pPr>
      <w:r>
        <w:rPr>
          <w:sz w:val="22"/>
        </w:rPr>
        <w:t>— Las glucoproteínas de superficie de HCMV (gB, gH, gN, gO) modulan la respuesta inmune del huésped y facilitan la persistencia viral; la variación intercepa puede afectar la presentación antigénica.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Sustento mecanístico para considerar que diferentes genotipos gB/gH de un mismo virus pueden generar respuestas inmunes parcialmente diferentes en el receptor, hipótesis subyacente a tu subanálisis serológico.</w:t>
      </w:r>
    </w:p>
    <w:p>
      <w:pPr>
        <w:keepNext/>
        <w:spacing w:before="200" w:after="40"/>
      </w:pPr>
      <w:r>
        <w:rPr>
          <w:b/>
          <w:sz w:val="22"/>
        </w:rPr>
        <w:t xml:space="preserve">Nguyen y Kamil (2018). </w:t>
      </w:r>
      <w:r>
        <w:rPr>
          <w:sz w:val="22"/>
        </w:rPr>
        <w:t xml:space="preserve">Pathogen at the Gates: Human Cytomegalovirus Entry and Cell Tropism. </w:t>
      </w:r>
      <w:r>
        <w:rPr>
          <w:i/>
          <w:sz w:val="22"/>
        </w:rPr>
        <w:t>Viruses.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[nguyen2018]</w:t>
      </w:r>
    </w:p>
    <w:p>
      <w:pPr>
        <w:spacing w:after="40"/>
        <w:ind w:left="283"/>
      </w:pPr>
      <w:r>
        <w:rPr>
          <w:sz w:val="22"/>
        </w:rPr>
        <w:t>— Revisión de los complejos de entrada de HCMV (trímero gH/gL/gO para fibroblastos y pentámero gH/gL/UL128-130-131A para células endoteliales/epiteliales). El tropismo celular depende de la composición del complejo.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Conexión directa con tu subanálisis serológico anti-gB1/anti-gB2 y con la discusión sobre vacunas: las vacunas que solo abordan gB pueden no cubrir adecuadamente la inmunidad anti-pentámero.</w:t>
      </w:r>
    </w:p>
    <w:p>
      <w:pPr>
        <w:keepNext/>
        <w:spacing w:before="200" w:after="40"/>
      </w:pPr>
      <w:r>
        <w:rPr>
          <w:b/>
          <w:sz w:val="22"/>
        </w:rPr>
        <w:t xml:space="preserve">Ye et al. (2020). </w:t>
      </w:r>
      <w:r>
        <w:rPr>
          <w:sz w:val="22"/>
        </w:rPr>
        <w:t xml:space="preserve">Functional Profile of Human Cytomegalovirus Genes and Their Associated Diseases: A Review. </w:t>
      </w:r>
      <w:r>
        <w:rPr>
          <w:i/>
          <w:sz w:val="22"/>
        </w:rPr>
        <w:t>Frontiers in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[ye2020b]</w:t>
      </w:r>
    </w:p>
    <w:p>
      <w:pPr>
        <w:spacing w:after="40"/>
        <w:ind w:left="283"/>
      </w:pPr>
      <w:r>
        <w:rPr>
          <w:sz w:val="22"/>
        </w:rPr>
        <w:t>— Perfil funcional sistemático de los genes de HCMV y enfermedades asociadas, con énfasis en la heterogeneidad de funciones de glicoproteínas, proteínas de envoltura y reguladoras.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general para un párrafo introductorio sobre diversidad genética en la discusión.</w:t>
      </w:r>
    </w:p>
    <w:p>
      <w:pPr>
        <w:keepNext/>
        <w:spacing w:before="200" w:after="40"/>
      </w:pPr>
      <w:r>
        <w:rPr>
          <w:b/>
          <w:sz w:val="22"/>
        </w:rPr>
        <w:t xml:space="preserve">Berry et al. (2020). </w:t>
      </w:r>
      <w:r>
        <w:rPr>
          <w:sz w:val="22"/>
        </w:rPr>
        <w:t xml:space="preserve">Modulation of innate and adaptive immunity by cytomegaloviruses. </w:t>
      </w:r>
      <w:r>
        <w:rPr>
          <w:i/>
          <w:sz w:val="22"/>
        </w:rPr>
        <w:t>Nature Reviews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[berry2020]</w:t>
      </w:r>
    </w:p>
    <w:p>
      <w:pPr>
        <w:spacing w:after="40"/>
        <w:ind w:left="283"/>
      </w:pPr>
      <w:r>
        <w:rPr>
          <w:sz w:val="22"/>
        </w:rPr>
        <w:t>— Modulación de la inmunidad innata y adaptativa por CMV: la coexistencia entre virus y huésped implica mecanismos de inmunoevasión y, simultáneamente, un cebado intenso del compartimento de células T y NK.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discutir la imposibilidad de aclarar episodios mixtos pese a una respuesta inmune presente: cada subpoblación viral puede evadir distintas ramas inmunes.</w:t>
      </w:r>
    </w:p>
    <w:p>
      <w:pPr>
        <w:keepNext/>
        <w:spacing w:before="200" w:after="40"/>
      </w:pPr>
      <w:r>
        <w:rPr>
          <w:b/>
          <w:sz w:val="22"/>
        </w:rPr>
        <w:t xml:space="preserve">Gugliesi et al. (2020). </w:t>
      </w:r>
      <w:r>
        <w:rPr>
          <w:sz w:val="22"/>
        </w:rPr>
        <w:t xml:space="preserve">Where do we Stand after Decades of Studying Human Cytomegalovirus?. </w:t>
      </w:r>
      <w:r>
        <w:rPr>
          <w:i/>
          <w:sz w:val="22"/>
        </w:rPr>
        <w:t>Microorganisms.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[gugliesi2020]</w:t>
      </w:r>
    </w:p>
    <w:p>
      <w:pPr>
        <w:spacing w:after="40"/>
        <w:ind w:left="283"/>
      </w:pPr>
      <w:r>
        <w:rPr>
          <w:sz w:val="22"/>
        </w:rPr>
        <w:t>— Revisión de décadas de estudio de HCMV: enfatiza que aún no hay vacuna eficaz, que la diversidad intra-huésped es regla en transplantados y que el conocimiento sobre mecanismos de cuasiespecies es aún limitado.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Contexto histórico-epistemológico para abrir la discusión, en línea con tu mensaje de que la diversidad genotípica intra-huésped en RTP merece más atención.</w:t>
      </w:r>
    </w:p>
    <w:p>
      <w:pPr>
        <w:keepNext/>
        <w:spacing w:before="200" w:after="40"/>
      </w:pPr>
      <w:r>
        <w:rPr>
          <w:b/>
          <w:sz w:val="22"/>
        </w:rPr>
        <w:t xml:space="preserve">Griffiths y Reeves (2021). </w:t>
      </w:r>
      <w:r>
        <w:rPr>
          <w:sz w:val="22"/>
        </w:rPr>
        <w:t xml:space="preserve">Pathogenesis of human cytomegalovirus in the immunocompromised host. </w:t>
      </w:r>
      <w:r>
        <w:rPr>
          <w:i/>
          <w:sz w:val="22"/>
        </w:rPr>
        <w:t>Nature Reviews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[griffiths2021]</w:t>
      </w:r>
    </w:p>
    <w:p>
      <w:pPr>
        <w:spacing w:after="40"/>
        <w:ind w:left="283"/>
      </w:pPr>
      <w:r>
        <w:rPr>
          <w:sz w:val="22"/>
        </w:rPr>
        <w:t>— Revisión magistral de la patogénesis de HCMV en el huésped inmunocomprometido: integra cinética viral, exposición acumulada (AUC), inmunidad celular y efectos indirectos sobre rechazo, neoplasia y mortalidad.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Marco conceptual de referencia para varias secciones de tu discusión: enlaza tus hallazgos sobre AUC, cinética y efectos indirectos (neoplasias) con un modelo patogénico unificado.</w:t>
      </w:r>
    </w:p>
    <w:p>
      <w:pPr>
        <w:keepNext/>
        <w:spacing w:before="360" w:after="160"/>
      </w:pPr>
      <w:r>
        <w:rPr>
          <w:b/>
          <w:sz w:val="28"/>
        </w:rPr>
        <w:t>Historia de HCMV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1921 </w:t>
      </w:r>
      <w:r>
        <w:rPr>
          <w:b/>
          <w:i/>
          <w:sz w:val="20"/>
        </w:rPr>
        <w:t xml:space="preserve">— Primera descripción: </w:t>
      </w:r>
      <w:r>
        <w:rPr>
          <w:sz w:val="20"/>
        </w:rPr>
        <w:t>Goodpasture describe las células ‘protozoan-like’ en lesiones infantiles.</w:t>
      </w:r>
    </w:p>
    <w:p>
      <w:pPr>
        <w:spacing w:after="40"/>
        <w:ind w:left="283"/>
      </w:pPr>
      <w:r>
        <w:rPr>
          <w:b/>
          <w:sz w:val="20"/>
        </w:rPr>
        <w:t xml:space="preserve">1979 </w:t>
      </w:r>
      <w:r>
        <w:rPr>
          <w:b/>
          <w:i/>
          <w:sz w:val="20"/>
        </w:rPr>
        <w:t xml:space="preserve">— ‘Troll of transplantation’: </w:t>
      </w:r>
      <w:r>
        <w:rPr>
          <w:sz w:val="20"/>
        </w:rPr>
        <w:t>Balfour acuña la metáfora clásica del trasplante.</w:t>
      </w:r>
    </w:p>
    <w:p>
      <w:pPr>
        <w:spacing w:after="40"/>
        <w:ind w:left="283"/>
      </w:pPr>
      <w:r>
        <w:rPr>
          <w:b/>
          <w:sz w:val="20"/>
        </w:rPr>
        <w:t xml:space="preserve">1997-2008 </w:t>
      </w:r>
      <w:r>
        <w:rPr>
          <w:b/>
          <w:i/>
          <w:sz w:val="20"/>
        </w:rPr>
        <w:t xml:space="preserve">— Revisiones históricas: </w:t>
      </w:r>
      <w:r>
        <w:rPr>
          <w:sz w:val="20"/>
        </w:rPr>
        <w:t>Riley, Ho, Halwachs-Baumann revisan el desarrollo del campo.</w:t>
      </w:r>
    </w:p>
    <w:p>
      <w:pPr>
        <w:spacing w:after="40"/>
        <w:ind w:left="283"/>
      </w:pPr>
      <w:r>
        <w:rPr>
          <w:b/>
          <w:sz w:val="20"/>
        </w:rPr>
        <w:t xml:space="preserve">2001 </w:t>
      </w:r>
      <w:r>
        <w:rPr>
          <w:b/>
          <w:i/>
          <w:sz w:val="20"/>
        </w:rPr>
        <w:t xml:space="preserve">— CMV en trasplante renal: </w:t>
      </w:r>
      <w:r>
        <w:rPr>
          <w:sz w:val="20"/>
        </w:rPr>
        <w:t>Brennan describe el papel central en TOS.</w:t>
      </w:r>
    </w:p>
    <w:p>
      <w:pPr>
        <w:keepNext/>
        <w:spacing w:before="200" w:after="40"/>
      </w:pPr>
      <w:r>
        <w:rPr>
          <w:b/>
          <w:sz w:val="22"/>
        </w:rPr>
        <w:t xml:space="preserve">Goodpasture (1921). </w:t>
      </w:r>
      <w:r>
        <w:rPr>
          <w:sz w:val="22"/>
        </w:rPr>
        <w:t xml:space="preserve">CONCERNING THE NATURE OF "PROTOZOAN-LIKE" CELLS IN CERTAIN LESIONS OF INFANCY. </w:t>
      </w:r>
      <w:r>
        <w:rPr>
          <w:i/>
          <w:sz w:val="22"/>
        </w:rPr>
        <w:t>Archives of Pediatrics &amp; Adolescent Medicine.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[goodpasture1921]</w:t>
      </w:r>
    </w:p>
    <w:p>
      <w:pPr>
        <w:spacing w:after="40"/>
        <w:ind w:left="283"/>
      </w:pPr>
      <w:r>
        <w:rPr>
          <w:sz w:val="22"/>
        </w:rPr>
        <w:t>— Descripción inicial de células gigantes con inclusiones intranucleares en lesiones de la infancia; primer registro histórico del citomegalovirus.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 para abrir la introducción de la tesis. No aporta datos para la discusión técnica.</w:t>
      </w:r>
    </w:p>
    <w:p>
      <w:pPr>
        <w:keepNext/>
        <w:spacing w:before="200" w:after="40"/>
      </w:pPr>
      <w:r>
        <w:rPr>
          <w:b/>
          <w:sz w:val="22"/>
        </w:rPr>
        <w:t xml:space="preserve">Balfour (1979). </w:t>
      </w:r>
      <w:r>
        <w:rPr>
          <w:sz w:val="22"/>
        </w:rPr>
        <w:t xml:space="preserve">Cytomegalovirus: the troll of transplantation. </w:t>
      </w:r>
      <w:r>
        <w:rPr>
          <w:i/>
          <w:sz w:val="22"/>
        </w:rPr>
        <w:t>Archives of Internal Medicine.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[balfour1979]</w:t>
      </w:r>
    </w:p>
    <w:p>
      <w:pPr>
        <w:spacing w:after="40"/>
        <w:ind w:left="283"/>
      </w:pPr>
      <w:r>
        <w:rPr>
          <w:sz w:val="22"/>
        </w:rPr>
        <w:t>— CMV como ‘troll of transplantation’: una de las descripciones clásicas que estableció el papel central del virus en la morbi-mortalidad postrasplante.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 para la introducción.</w:t>
      </w:r>
    </w:p>
    <w:p>
      <w:pPr>
        <w:keepNext/>
        <w:spacing w:before="200" w:after="40"/>
      </w:pPr>
      <w:r>
        <w:rPr>
          <w:b/>
          <w:sz w:val="22"/>
        </w:rPr>
        <w:t xml:space="preserve">Riley (1997). </w:t>
      </w:r>
      <w:r>
        <w:rPr>
          <w:sz w:val="22"/>
        </w:rPr>
        <w:t xml:space="preserve">History of the cytomegalovirus. </w:t>
      </w:r>
      <w:r>
        <w:rPr>
          <w:i/>
          <w:sz w:val="22"/>
        </w:rPr>
        <w:t>Southern Medical Journal.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[riley1997]</w:t>
      </w:r>
    </w:p>
    <w:p>
      <w:pPr>
        <w:spacing w:after="40"/>
        <w:ind w:left="283"/>
      </w:pPr>
      <w:r>
        <w:rPr>
          <w:sz w:val="22"/>
        </w:rPr>
        <w:t>— Repaso histórico del aislamiento, caracterización y reconocimiento clínico de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histórica.</w:t>
      </w:r>
    </w:p>
    <w:p>
      <w:pPr>
        <w:keepNext/>
        <w:spacing w:before="200" w:after="40"/>
      </w:pPr>
      <w:r>
        <w:rPr>
          <w:b/>
          <w:sz w:val="22"/>
        </w:rPr>
        <w:t xml:space="preserve">Brennan (2001). </w:t>
      </w:r>
      <w:r>
        <w:rPr>
          <w:sz w:val="22"/>
        </w:rPr>
        <w:t xml:space="preserve">Cytomegalovirus in renal transplantation. </w:t>
      </w:r>
      <w:r>
        <w:rPr>
          <w:i/>
          <w:sz w:val="22"/>
        </w:rPr>
        <w:t>Journal of the American Society of Nephrology: JASN.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[brennan2001]</w:t>
      </w:r>
    </w:p>
    <w:p>
      <w:pPr>
        <w:spacing w:after="40"/>
        <w:ind w:left="283"/>
      </w:pPr>
      <w:r>
        <w:rPr>
          <w:sz w:val="22"/>
        </w:rPr>
        <w:t>— CMV en trasplante renal: describe la incidencia, los grupos de riesgo (D+/R-) y la introducción de la profilaxis sistemática.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Contexto histórico para discutir la evolución de las pautas en el trasplante de órgano sólido en general.</w:t>
      </w:r>
    </w:p>
    <w:p>
      <w:pPr>
        <w:keepNext/>
        <w:spacing w:before="200" w:after="40"/>
      </w:pPr>
      <w:r>
        <w:rPr>
          <w:b/>
          <w:sz w:val="22"/>
        </w:rPr>
        <w:t xml:space="preserve">Ho (2008). </w:t>
      </w:r>
      <w:r>
        <w:rPr>
          <w:sz w:val="22"/>
        </w:rPr>
        <w:t xml:space="preserve">The history of cytomegalovirus and its diseases. </w:t>
      </w:r>
      <w:r>
        <w:rPr>
          <w:i/>
          <w:sz w:val="22"/>
        </w:rPr>
        <w:t>Medical Microbiology and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[ho2008]</w:t>
      </w:r>
    </w:p>
    <w:p>
      <w:pPr>
        <w:spacing w:after="40"/>
        <w:ind w:left="283"/>
      </w:pPr>
      <w:r>
        <w:rPr>
          <w:sz w:val="22"/>
        </w:rPr>
        <w:t>— Historia del CMV y de las enfermedades asociadas: integra el descubrimiento, los avances diagnósticos y la introducción de antivirales.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histórica.</w:t>
      </w:r>
    </w:p>
    <w:p>
      <w:pPr>
        <w:keepNext/>
        <w:spacing w:before="200" w:after="40"/>
      </w:pPr>
      <w:r>
        <w:rPr>
          <w:b/>
          <w:sz w:val="22"/>
        </w:rPr>
        <w:t xml:space="preserve">Halwachs-Baumann (2011). </w:t>
      </w:r>
      <w:r>
        <w:rPr>
          <w:sz w:val="22"/>
        </w:rPr>
        <w:t xml:space="preserve">Long known, long ignored — a brief history of cytomegalovirus research. </w:t>
      </w:r>
      <w:r>
        <w:rPr>
          <w:i/>
          <w:sz w:val="22"/>
        </w:rPr>
        <w:t>Congenital Cytomegalovirus Infection: Epidemiology, Diagnosis, Therapy.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[halwachs-baumann2011]</w:t>
      </w:r>
    </w:p>
    <w:p>
      <w:pPr>
        <w:spacing w:after="40"/>
        <w:ind w:left="283"/>
      </w:pPr>
      <w:r>
        <w:rPr>
          <w:sz w:val="22"/>
        </w:rPr>
        <w:t>— Resumen breve sobre la historia del CMV: enfatiza el carácter de patógeno reconocido tardíamente como causa de enfermedad grave en huéspedes susceptibles.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histórica.</w:t>
      </w:r>
    </w:p>
    <w:p>
      <w:pPr>
        <w:keepNext/>
        <w:spacing w:before="360" w:after="160"/>
      </w:pPr>
      <w:r>
        <w:rPr>
          <w:b/>
          <w:sz w:val="28"/>
        </w:rPr>
        <w:t>Epidemiología y seroprevalencia mundial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2013 </w:t>
      </w:r>
      <w:r>
        <w:rPr>
          <w:b/>
          <w:i/>
          <w:sz w:val="20"/>
        </w:rPr>
        <w:t xml:space="preserve">— Carga global de CMV congénito: </w:t>
      </w:r>
      <w:r>
        <w:rPr>
          <w:sz w:val="20"/>
        </w:rPr>
        <w:t>Manicklal et al. ‘the silent global burden’.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Seroprevalencia mundial — revisión sistemática: </w:t>
      </w:r>
      <w:r>
        <w:rPr>
          <w:sz w:val="20"/>
        </w:rPr>
        <w:t>Zuhair et al. estiman seroprevalencia adulta global.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Seroprevalencia y vacunas: </w:t>
      </w:r>
      <w:r>
        <w:rPr>
          <w:sz w:val="20"/>
        </w:rPr>
        <w:t>Fowler et al. revisan implicaciones para desarrollo de vacunas.</w:t>
      </w:r>
    </w:p>
    <w:p>
      <w:pPr>
        <w:keepNext/>
        <w:spacing w:before="200" w:after="40"/>
      </w:pPr>
      <w:r>
        <w:rPr>
          <w:b/>
          <w:sz w:val="22"/>
        </w:rPr>
        <w:t xml:space="preserve">Manicklal et al. (2013). </w:t>
      </w:r>
      <w:r>
        <w:rPr>
          <w:sz w:val="22"/>
        </w:rPr>
        <w:t xml:space="preserve">The “Silent” Global Burden of Congenital Cytomegalovirus. </w:t>
      </w:r>
      <w:r>
        <w:rPr>
          <w:i/>
          <w:sz w:val="22"/>
        </w:rPr>
        <w:t>Clinical Microbiology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[manicklal2013]</w:t>
      </w:r>
    </w:p>
    <w:p>
      <w:pPr>
        <w:spacing w:after="40"/>
        <w:ind w:left="283"/>
      </w:pPr>
      <w:r>
        <w:rPr>
          <w:sz w:val="22"/>
        </w:rPr>
        <w:t>— CMV congénito como carga global silente: revisión sistemática que cuantifica la prevalencia de infección congénita y sus secuelas neurológicas.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de contexto para introducir la prevalencia de CMV en la población general que recibe trasplante (los receptores R+ provienen de esta población).</w:t>
      </w:r>
    </w:p>
    <w:p>
      <w:pPr>
        <w:keepNext/>
        <w:spacing w:before="200" w:after="40"/>
      </w:pPr>
      <w:r>
        <w:rPr>
          <w:b/>
          <w:sz w:val="22"/>
        </w:rPr>
        <w:t xml:space="preserve">Zuhair et al. (2019). </w:t>
      </w:r>
      <w:r>
        <w:rPr>
          <w:sz w:val="22"/>
        </w:rPr>
        <w:t xml:space="preserve">Estimation of the worldwide seroprevalence of cytomegalovirus: A systematic review and meta‐analysis. </w:t>
      </w:r>
      <w:r>
        <w:rPr>
          <w:i/>
          <w:sz w:val="22"/>
        </w:rPr>
        <w:t>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[zuhair2019]</w:t>
      </w:r>
    </w:p>
    <w:p>
      <w:pPr>
        <w:spacing w:after="40"/>
        <w:ind w:left="283"/>
      </w:pPr>
      <w:r>
        <w:rPr>
          <w:sz w:val="22"/>
        </w:rPr>
        <w:t>— Revisión sistemática y metanálisis de la seroprevalencia mundial de CMV: ~83% global en mujeres en edad fértil, con variaciones importantes por región (alta en Sudamérica, África; menor en Europa Occidental y EE. UU.).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cuantitativo para discutir la mayor proporción de R+ en tu cohorte (89,7%) y la baja proporción de D-/R- (que en RTP en HU12O fue cero), congruente con la seroprevalencia española.</w:t>
      </w:r>
    </w:p>
    <w:p>
      <w:pPr>
        <w:keepNext/>
        <w:spacing w:before="200" w:after="40"/>
      </w:pPr>
      <w:r>
        <w:rPr>
          <w:b/>
          <w:sz w:val="22"/>
        </w:rPr>
        <w:t xml:space="preserve">Fowler et al. (2022). </w:t>
      </w:r>
      <w:r>
        <w:rPr>
          <w:sz w:val="22"/>
        </w:rPr>
        <w:t xml:space="preserve">A systematic literature review of the global seroprevalence of cytomegalovirus: possible implications for treatment, screening, and vaccine development. </w:t>
      </w:r>
      <w:r>
        <w:rPr>
          <w:i/>
          <w:sz w:val="22"/>
        </w:rPr>
        <w:t>BMC Public Health.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[fowler2022]</w:t>
      </w:r>
    </w:p>
    <w:p>
      <w:pPr>
        <w:spacing w:after="40"/>
        <w:ind w:left="283"/>
      </w:pPr>
      <w:r>
        <w:rPr>
          <w:sz w:val="22"/>
        </w:rPr>
        <w:t>— Seroprevalencia global y argumentos para el desarrollo de vacunas: subraya que un porcentaje sustancial de la población es susceptible y que la enfermedad por CMV en trasplante refleja en parte una epidemiología poblacional susceptible.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Permite enlazar tus datos de mixtos con el argumento de que la heterogeneidad genotípica es alta en la población donante, generando reservorios de cepas múltiples potencialmente transmisibles al receptor.</w:t>
      </w:r>
    </w:p>
    <w:p>
      <w:pPr>
        <w:keepNext/>
        <w:spacing w:before="360" w:after="160"/>
      </w:pPr>
      <w:r>
        <w:rPr>
          <w:b/>
          <w:sz w:val="28"/>
        </w:rPr>
        <w:t>Taxonomía, estructura y biología viral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Estructura atómica de la cápsida HCMV: </w:t>
      </w:r>
      <w:r>
        <w:rPr>
          <w:sz w:val="20"/>
        </w:rPr>
        <w:t>Yu et al. resuelven la estructura atómica con la capa de tegumento.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Evolución de los CMVs primates: </w:t>
      </w:r>
      <w:r>
        <w:rPr>
          <w:sz w:val="20"/>
        </w:rPr>
        <w:t>Cagliani et al. analizan la diversidad genética interspecífica.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Perfil ICTV Herpesviridae 2021: </w:t>
      </w:r>
      <w:r>
        <w:rPr>
          <w:sz w:val="20"/>
        </w:rPr>
        <w:t>Gatherer et al. actualizan la taxonomía formal.</w:t>
      </w:r>
    </w:p>
    <w:p>
      <w:pPr>
        <w:spacing w:after="40"/>
        <w:ind w:left="283"/>
      </w:pPr>
      <w:r>
        <w:rPr>
          <w:b/>
          <w:sz w:val="20"/>
        </w:rPr>
        <w:t xml:space="preserve">2023 </w:t>
      </w:r>
      <w:r>
        <w:rPr>
          <w:b/>
          <w:i/>
          <w:sz w:val="20"/>
        </w:rPr>
        <w:t xml:space="preserve">— Mapa proteico espacial de viriones HCMV: </w:t>
      </w:r>
      <w:r>
        <w:rPr>
          <w:sz w:val="20"/>
        </w:rPr>
        <w:t>Bogdanow et al. caracterizan composición espacial.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Sistemática y ciclo de vida: </w:t>
      </w:r>
      <w:r>
        <w:rPr>
          <w:sz w:val="20"/>
        </w:rPr>
        <w:t>Dotto-Maurel et al. revisan la sistemática actualizada.</w:t>
      </w:r>
    </w:p>
    <w:p>
      <w:pPr>
        <w:keepNext/>
        <w:spacing w:before="200" w:after="40"/>
      </w:pPr>
      <w:r>
        <w:rPr>
          <w:b/>
          <w:sz w:val="22"/>
        </w:rPr>
        <w:t xml:space="preserve">Yu et al. (2017). </w:t>
      </w:r>
      <w:r>
        <w:rPr>
          <w:sz w:val="22"/>
        </w:rPr>
        <w:t xml:space="preserve">Atomic structure of the human cytomegalovirus capsid with its securing tegument layer of pp150. </w:t>
      </w:r>
      <w:r>
        <w:rPr>
          <w:i/>
          <w:sz w:val="22"/>
        </w:rPr>
        <w:t>Science (New York, N.Y.).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[yu2017]</w:t>
      </w:r>
    </w:p>
    <w:p>
      <w:pPr>
        <w:spacing w:after="40"/>
        <w:ind w:left="283"/>
      </w:pPr>
      <w:r>
        <w:rPr>
          <w:sz w:val="22"/>
        </w:rPr>
        <w:t>— Estructura atómica de la cápsida de HCMV con su capa de tegumento, resuelta por crio-EM con resolución suficiente para visualizar la organización de la pp150 y proteínas estructurales mayores.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básica para la introducción. Sin uso directo en la discusión.</w:t>
      </w:r>
    </w:p>
    <w:p>
      <w:pPr>
        <w:keepNext/>
        <w:spacing w:before="200" w:after="40"/>
      </w:pPr>
      <w:r>
        <w:rPr>
          <w:b/>
          <w:sz w:val="22"/>
        </w:rPr>
        <w:t xml:space="preserve">Nguyen y Kamil (2018). </w:t>
      </w:r>
      <w:r>
        <w:rPr>
          <w:sz w:val="22"/>
        </w:rPr>
        <w:t xml:space="preserve">Pathogen at the Gates: Human Cytomegalovirus Entry and Cell Tropism. </w:t>
      </w:r>
      <w:r>
        <w:rPr>
          <w:i/>
          <w:sz w:val="22"/>
        </w:rPr>
        <w:t>Viruses.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[nguyen2018]</w:t>
      </w:r>
    </w:p>
    <w:p>
      <w:pPr>
        <w:spacing w:after="40"/>
        <w:ind w:left="283"/>
      </w:pPr>
      <w:r>
        <w:rPr>
          <w:sz w:val="22"/>
        </w:rPr>
        <w:t>— (Ya tratada en revisiones generales.)</w:t>
      </w:r>
    </w:p>
    <w:p>
      <w:pPr>
        <w:spacing w:after="120"/>
        <w:ind w:left="567"/>
      </w:pPr>
      <w:r>
        <w:rPr>
          <w:i/>
          <w:color w:val="004AAD"/>
          <w:sz w:val="20"/>
        </w:rPr>
        <w:t>› Mencionar una vez en cada apartado donde aplique.</w:t>
      </w:r>
    </w:p>
    <w:p>
      <w:pPr>
        <w:keepNext/>
        <w:spacing w:before="200" w:after="40"/>
      </w:pPr>
      <w:r>
        <w:rPr>
          <w:b/>
          <w:sz w:val="22"/>
        </w:rPr>
        <w:t xml:space="preserve">Cagliani et al. (2020). </w:t>
      </w:r>
      <w:r>
        <w:rPr>
          <w:sz w:val="22"/>
        </w:rPr>
        <w:t xml:space="preserve">Evolution and Genetic Diversity of Primate Cytomegaloviruses. </w:t>
      </w:r>
      <w:r>
        <w:rPr>
          <w:i/>
          <w:sz w:val="22"/>
        </w:rPr>
        <w:t>Microorganisms.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[cagliani2020]</w:t>
      </w:r>
    </w:p>
    <w:p>
      <w:pPr>
        <w:spacing w:after="40"/>
        <w:ind w:left="283"/>
      </w:pPr>
      <w:r>
        <w:rPr>
          <w:sz w:val="22"/>
        </w:rPr>
        <w:t>— Evolución y diversidad genética de los citomegalovirus primates: HCMV presenta una variación intercepa elevada compatible con coevolución con el linaje humano y diversificación genotípica fijada por presión inmunológica.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Sustento evolutivo para tu observación de patrones gB-gH no aleatorios: las combinaciones que persisten han sido seleccionadas por presión, no son al azar.</w:t>
      </w:r>
    </w:p>
    <w:p>
      <w:pPr>
        <w:keepNext/>
        <w:spacing w:before="200" w:after="40"/>
      </w:pPr>
      <w:r>
        <w:rPr>
          <w:b/>
          <w:sz w:val="22"/>
        </w:rPr>
        <w:t xml:space="preserve">Gatherer et al. (2021). </w:t>
      </w:r>
      <w:r>
        <w:rPr>
          <w:sz w:val="22"/>
        </w:rPr>
        <w:t xml:space="preserve">ICTV Virus Taxonomy Profile: Herpesviridae 2021. </w:t>
      </w:r>
      <w:r>
        <w:rPr>
          <w:i/>
          <w:sz w:val="22"/>
        </w:rPr>
        <w:t>The Journal of General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[gatherer2021]</w:t>
      </w:r>
    </w:p>
    <w:p>
      <w:pPr>
        <w:spacing w:after="40"/>
        <w:ind w:left="283"/>
      </w:pPr>
      <w:r>
        <w:rPr>
          <w:sz w:val="22"/>
        </w:rPr>
        <w:t>— Perfil ICTV de Herpesviridae actualizado a 2021: clasificación, propiedades, ciclo de replicación y miembros de la familia.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estándar para situar a HCMV dentro de la familia. Sin uso directo en la discusión.</w:t>
      </w:r>
    </w:p>
    <w:p>
      <w:pPr>
        <w:keepNext/>
        <w:spacing w:before="200" w:after="40"/>
      </w:pPr>
      <w:r>
        <w:rPr>
          <w:b/>
          <w:sz w:val="22"/>
        </w:rPr>
        <w:t xml:space="preserve">Bogdanow et al. (2023). </w:t>
      </w:r>
      <w:r>
        <w:rPr>
          <w:sz w:val="22"/>
        </w:rPr>
        <w:t xml:space="preserve">Spatially resolved protein map of intact human cytomegalovirus virions. </w:t>
      </w:r>
      <w:r>
        <w:rPr>
          <w:i/>
          <w:sz w:val="22"/>
        </w:rPr>
        <w:t>Nature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[bogdanow2023]</w:t>
      </w:r>
    </w:p>
    <w:p>
      <w:pPr>
        <w:spacing w:after="40"/>
        <w:ind w:left="283"/>
      </w:pPr>
      <w:r>
        <w:rPr>
          <w:sz w:val="22"/>
        </w:rPr>
        <w:t>— Mapa proteico espacialmente resuelto de viriones intactos de HCMV: identifica composición de las distintas capas estructurales con cuantificación absoluta.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Sin uso directo en la discusión.</w:t>
      </w:r>
    </w:p>
    <w:p>
      <w:pPr>
        <w:keepNext/>
        <w:spacing w:before="200" w:after="40"/>
      </w:pPr>
      <w:r>
        <w:rPr>
          <w:b/>
          <w:sz w:val="22"/>
        </w:rPr>
        <w:t xml:space="preserve">Dotto-Maurel et al. (2025). </w:t>
      </w:r>
      <w:r>
        <w:rPr>
          <w:sz w:val="22"/>
        </w:rPr>
        <w:t xml:space="preserve">Herpesviruses: overview of systematics, genomic complexity and life cycle. </w:t>
      </w:r>
      <w:r>
        <w:rPr>
          <w:i/>
          <w:sz w:val="22"/>
        </w:rPr>
        <w:t>Virology Journal.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[dotto-maurel2025]</w:t>
      </w:r>
    </w:p>
    <w:p>
      <w:pPr>
        <w:spacing w:after="40"/>
        <w:ind w:left="283"/>
      </w:pPr>
      <w:r>
        <w:rPr>
          <w:sz w:val="22"/>
        </w:rPr>
        <w:t>— Revisión actualizada de la sistemática, complejidad genómica y ciclo de vida de Herpesviridae.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estándar para la introducción.</w:t>
      </w:r>
    </w:p>
    <w:p>
      <w:pPr>
        <w:keepNext/>
        <w:spacing w:before="360" w:after="160"/>
      </w:pPr>
      <w:r>
        <w:rPr>
          <w:b/>
          <w:sz w:val="28"/>
        </w:rPr>
        <w:t>Documentos HU12O y red española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Tesis previa CMV congénito HU12O: </w:t>
      </w:r>
      <w:r>
        <w:rPr>
          <w:sz w:val="20"/>
        </w:rPr>
        <w:t>Barrado-Blanco analiza genotipos en infección congénita HU12O.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Barrado et al. — gB/gH en TOS: </w:t>
      </w:r>
      <w:r>
        <w:rPr>
          <w:sz w:val="20"/>
        </w:rPr>
        <w:t>Predicción de enfermedad CMV por genotipos en TOS no pulmonar.</w:t>
      </w:r>
    </w:p>
    <w:p>
      <w:pPr>
        <w:spacing w:after="40"/>
        <w:ind w:left="283"/>
      </w:pPr>
      <w:r>
        <w:rPr>
          <w:b/>
          <w:sz w:val="20"/>
        </w:rPr>
        <w:t xml:space="preserve">2020-2022 </w:t>
      </w:r>
      <w:r>
        <w:rPr>
          <w:b/>
          <w:i/>
          <w:sz w:val="20"/>
        </w:rPr>
        <w:t xml:space="preserve">— Efectos indirectos en RTP HU12O: </w:t>
      </w:r>
      <w:r>
        <w:rPr>
          <w:sz w:val="20"/>
        </w:rPr>
        <w:t>Rodríguez-Goncer et al. analizan efectos indirectos del CMV en cohortes HU12O.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Tesis previa factores predictivos CMV TOS: </w:t>
      </w:r>
      <w:r>
        <w:rPr>
          <w:sz w:val="20"/>
        </w:rPr>
        <w:t>Vinuesa-Velasco describe factores predictivos en TOS.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Supervivencia con seropositividad LT: </w:t>
      </w:r>
      <w:r>
        <w:rPr>
          <w:sz w:val="20"/>
        </w:rPr>
        <w:t>Revuelta-Salgado et al. estudian impacto en supervivencia.</w:t>
      </w:r>
    </w:p>
    <w:p>
      <w:pPr>
        <w:spacing w:after="40"/>
        <w:ind w:left="283"/>
      </w:pPr>
      <w:r>
        <w:rPr>
          <w:b/>
          <w:sz w:val="20"/>
        </w:rPr>
        <w:t xml:space="preserve">2023 </w:t>
      </w:r>
      <w:r>
        <w:rPr>
          <w:b/>
          <w:i/>
          <w:sz w:val="20"/>
        </w:rPr>
        <w:t xml:space="preserve">— Cohorte española MRA: </w:t>
      </w:r>
      <w:r>
        <w:rPr>
          <w:sz w:val="20"/>
        </w:rPr>
        <w:t>Recio et al. describen MRA en TOS con sospecha de resistencia.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Cumplimentación profilaxis valganciclovir RTP HU12O: </w:t>
      </w:r>
      <w:r>
        <w:rPr>
          <w:sz w:val="20"/>
        </w:rPr>
        <w:t>García-Masedo Fernández et al. analizan adherencia.</w:t>
      </w:r>
    </w:p>
    <w:p>
      <w:pPr>
        <w:keepNext/>
        <w:spacing w:before="200" w:after="40"/>
      </w:pPr>
      <w:r>
        <w:rPr>
          <w:b/>
          <w:sz w:val="22"/>
        </w:rPr>
        <w:t xml:space="preserve">Barrado Blanco (2016). </w:t>
      </w:r>
      <w:r>
        <w:rPr>
          <w:sz w:val="22"/>
        </w:rPr>
        <w:t xml:space="preserve">"Citomegalovirus" congénito: análisis de los genotipos virales.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[barradoblanco2016]</w:t>
      </w:r>
    </w:p>
    <w:p>
      <w:pPr>
        <w:spacing w:after="40"/>
        <w:ind w:left="283"/>
      </w:pPr>
      <w:r>
        <w:rPr>
          <w:sz w:val="22"/>
        </w:rPr>
        <w:t>— Tesis doctoral previa HU12O sobre genotipos virales en CMV congénito.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Antecedente metodológico de la línea de genotipado del Servicio de Microbiología; útil para la introducción de la tesis y para justificar la continuidad de la línea de investigación.</w:t>
      </w:r>
    </w:p>
    <w:p>
      <w:pPr>
        <w:keepNext/>
        <w:spacing w:before="200" w:after="40"/>
      </w:pPr>
      <w:r>
        <w:rPr>
          <w:b/>
          <w:sz w:val="22"/>
        </w:rPr>
        <w:t xml:space="preserve">Vinuesa Velasco (2021). </w:t>
      </w:r>
      <w:r>
        <w:rPr>
          <w:sz w:val="22"/>
        </w:rPr>
        <w:t xml:space="preserve">Factores predictivos de desarrollo y evolución de infección activa por citomegalovirus en el trasplante alogénico de precursores hematopoyéticos.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[vinuesavelasco2021]</w:t>
      </w:r>
    </w:p>
    <w:p>
      <w:pPr>
        <w:spacing w:after="40"/>
        <w:ind w:left="283"/>
      </w:pPr>
      <w:r>
        <w:rPr>
          <w:sz w:val="22"/>
        </w:rPr>
        <w:t>— Tesis doctoral previa HU12O sobre factores predictivos de CMV en TOS, integrando perfiles serológicos, viremia y desenlaces clínicos.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Antecedente clínico de tu propia cohorte y red local; útil para la introducción y para discutir la coherencia con los factores predictivos descritos.</w:t>
      </w:r>
    </w:p>
    <w:p>
      <w:pPr>
        <w:keepNext/>
        <w:spacing w:before="200" w:after="40"/>
      </w:pPr>
      <w:r>
        <w:rPr>
          <w:b/>
          <w:sz w:val="22"/>
        </w:rPr>
        <w:t xml:space="preserve">Rodríguez Goncer (2022). </w:t>
      </w:r>
      <w:r>
        <w:rPr>
          <w:sz w:val="22"/>
        </w:rPr>
        <w:t xml:space="preserve">Efectos indirectos de la infección por citomegalovirus en una cohorte de receptores de trasplante renal.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[rodriguezgoncer2022]</w:t>
      </w:r>
    </w:p>
    <w:p>
      <w:pPr>
        <w:spacing w:after="40"/>
        <w:ind w:left="283"/>
      </w:pPr>
      <w:r>
        <w:rPr>
          <w:sz w:val="22"/>
        </w:rPr>
        <w:t>— Efectos indirectos del CMV en una cohorte HU12O de RTP: incremento de complicaciones infecciosas no-CMV y eventos vasculares atribuibles a la replicación CMV recurrente.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directo a tu hallazgo de que los pacientes con mixtos presentan más DNAemias (IRR ajustado 1,28) y, aunque no más infecciones oportunistas no-CMV, sí mayor mortalidad global. Permite citar la coherencia con los efectos indirectos descritos.</w:t>
      </w:r>
    </w:p>
    <w:p>
      <w:pPr>
        <w:keepNext/>
        <w:spacing w:before="200" w:after="40"/>
      </w:pPr>
      <w:r>
        <w:rPr>
          <w:b/>
          <w:sz w:val="22"/>
        </w:rPr>
        <w:t xml:space="preserve">Rodríguez-Goncer et al. (2022). </w:t>
      </w:r>
      <w:r>
        <w:rPr>
          <w:sz w:val="22"/>
        </w:rPr>
        <w:t xml:space="preserve">Role of cytomegalovirus infection after kidney transplantation on the subsequent risk of atherosclerotic and thrombotic events. </w:t>
      </w:r>
      <w:r>
        <w:rPr>
          <w:i/>
          <w:sz w:val="22"/>
        </w:rPr>
        <w:t>Atherosclerosis Plus.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[rodriguez-goncer2022]</w:t>
      </w:r>
    </w:p>
    <w:p>
      <w:pPr>
        <w:spacing w:after="40"/>
        <w:ind w:left="283"/>
      </w:pPr>
      <w:r>
        <w:rPr>
          <w:sz w:val="22"/>
        </w:rPr>
        <w:t>— Versión inglesa o ampliación del trabajo HU12O sobre el papel de la infección CMV en el riesgo subsiguiente de complicaciones tras trasplante renal.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Mismo uso que rodriguezgoncer2022 — apoyo a la línea de efectos indirectos.</w:t>
      </w:r>
    </w:p>
    <w:p>
      <w:pPr>
        <w:keepNext/>
        <w:spacing w:before="200" w:after="40"/>
      </w:pPr>
      <w:r>
        <w:rPr>
          <w:b/>
          <w:sz w:val="22"/>
        </w:rPr>
        <w:t xml:space="preserve">Rodríguez-Goncer et al. (2020). </w:t>
      </w:r>
      <w:r>
        <w:rPr>
          <w:sz w:val="22"/>
        </w:rPr>
        <w:t xml:space="preserve">A critical review of the relationship between post-transplant atherosclerotic events and cytomegalovirus exposure in kidney transplant recipients. </w:t>
      </w:r>
      <w:r>
        <w:rPr>
          <w:i/>
          <w:sz w:val="22"/>
        </w:rPr>
        <w:t>Expert Review of Anti-infective Therapy.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[rodriguez-goncer2020a]</w:t>
      </w:r>
    </w:p>
    <w:p>
      <w:pPr>
        <w:spacing w:after="40"/>
        <w:ind w:left="283"/>
      </w:pPr>
      <w:r>
        <w:rPr>
          <w:sz w:val="22"/>
        </w:rPr>
        <w:t>— Revisión crítica de la relación entre eventos ateroscleróticos postrasplante y CMV: evidencia heterogénea, con asociación más sólida para episodios sintomáticos y replicación recurrente.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Útil para discutir si el aclaramiento prolongado de mixtos podría asociarse con eventos vasculares; aunque tu cohorte no analizó este desenlace específicamente, podría servir como hipótesis para futuros trabajos.</w:t>
      </w:r>
    </w:p>
    <w:p>
      <w:pPr>
        <w:keepNext/>
        <w:spacing w:before="200" w:after="40"/>
      </w:pPr>
      <w:r>
        <w:rPr>
          <w:b/>
          <w:sz w:val="22"/>
        </w:rPr>
        <w:t xml:space="preserve">Recio et al. (2023). </w:t>
      </w:r>
      <w:r>
        <w:rPr>
          <w:sz w:val="22"/>
        </w:rPr>
        <w:t xml:space="preserve">Cytomegalovirus drug resistance mutations in transplant recipients with suspected resistance. </w:t>
      </w:r>
      <w:r>
        <w:rPr>
          <w:i/>
          <w:sz w:val="22"/>
        </w:rPr>
        <w:t>Virology Journal.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[recio2023]</w:t>
      </w:r>
    </w:p>
    <w:p>
      <w:pPr>
        <w:spacing w:after="40"/>
        <w:ind w:left="283"/>
      </w:pPr>
      <w:r>
        <w:rPr>
          <w:sz w:val="22"/>
        </w:rPr>
        <w:t>— Cohorte española de TOS con sospecha de resistencia antiviral a CMV: describe MRA detectadas, perfil clínico y respuesta a alternativas terapéuticas; aporta uno de los pocos referentes nacionales en este ámbito.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Comparable directo a tu Estudio 2. Permite contextualizar la baja prevalencia de MRA confirmadas (1/11 RTP; RTP-2) con la realidad de centros españoles.</w:t>
      </w:r>
    </w:p>
    <w:p>
      <w:pPr>
        <w:keepNext/>
        <w:spacing w:before="200" w:after="40"/>
      </w:pPr>
      <w:r>
        <w:rPr>
          <w:b/>
          <w:sz w:val="22"/>
        </w:rPr>
        <w:t xml:space="preserve">García-Masedo Fernández (2025). </w:t>
      </w:r>
      <w:r>
        <w:rPr>
          <w:sz w:val="22"/>
        </w:rPr>
        <w:t xml:space="preserve">Cumplimentación de la profilaxis con Valganciclovir en receptores de trasplante pulmonar: impacto en el desarrollo de infección y enfermedad por CMV, rechazo agudo, disfunción crónica del injerto y supervivencia.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[garcia-masedofernandez2025]</w:t>
      </w:r>
    </w:p>
    <w:p>
      <w:pPr>
        <w:spacing w:after="40"/>
        <w:ind w:left="283"/>
      </w:pPr>
      <w:r>
        <w:rPr>
          <w:sz w:val="22"/>
        </w:rPr>
        <w:t>— Análisis de cumplimentación de profilaxis con valganciclovir en RTP del HU12O: variabilidad real en duración y adherencia; identifica suspensiones precoces por toxicidad como factor común.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directo a tu observación de suspensión precoz de profilaxis primaria en 9,8% de tus episodios (todos D+, por toxicidad).</w:t>
      </w:r>
    </w:p>
    <w:p>
      <w:pPr>
        <w:keepNext/>
        <w:spacing w:before="200" w:after="40"/>
      </w:pPr>
      <w:r>
        <w:rPr>
          <w:b/>
          <w:sz w:val="22"/>
        </w:rPr>
        <w:t xml:space="preserve">Revuelta-Salgado et al. (2021). </w:t>
      </w:r>
      <w:r>
        <w:rPr>
          <w:sz w:val="22"/>
        </w:rPr>
        <w:t xml:space="preserve">Influence of Cytomegalovirus on the Survival of Cytomegalovirus-Seropositive Lung Transplant. </w:t>
      </w:r>
      <w:r>
        <w:rPr>
          <w:i/>
          <w:sz w:val="22"/>
        </w:rPr>
        <w:t>Transplantation Proceedings.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[revuelta-salgado2021]</w:t>
      </w:r>
    </w:p>
    <w:p>
      <w:pPr>
        <w:spacing w:after="40"/>
        <w:ind w:left="283"/>
      </w:pPr>
      <w:r>
        <w:rPr>
          <w:sz w:val="22"/>
        </w:rPr>
        <w:t>— Influencia del CMV en la supervivencia de RTP CMV-seropositivos en cohorte española: asociaciones específicas con desenlaces a largo plazo.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Útil para enmarcar la mortalidad observada en tu cohorte (33,6%) y la tendencia de mayor mortalidad en mixtos (HR 1,55; p=0,139).</w:t>
      </w:r>
    </w:p>
    <w:p>
      <w:pPr>
        <w:keepNext/>
        <w:spacing w:before="360" w:after="160"/>
      </w:pPr>
      <w:r>
        <w:rPr>
          <w:b/>
          <w:sz w:val="28"/>
        </w:rPr>
        <w:t>Estándar OMS y comutabilidad de la cuantificación viral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2010 </w:t>
      </w:r>
      <w:r>
        <w:rPr>
          <w:b/>
          <w:i/>
          <w:sz w:val="20"/>
        </w:rPr>
        <w:t xml:space="preserve">— 1.er Estándar OMS HCMV NAT: </w:t>
      </w:r>
      <w:r>
        <w:rPr>
          <w:sz w:val="20"/>
        </w:rPr>
        <w:t>WHO 2010 — primer estándar internacional.</w:t>
      </w:r>
    </w:p>
    <w:p>
      <w:pPr>
        <w:spacing w:after="40"/>
        <w:ind w:left="283"/>
      </w:pPr>
      <w:r>
        <w:rPr>
          <w:b/>
          <w:sz w:val="20"/>
        </w:rPr>
        <w:t xml:space="preserve">2015-2016 </w:t>
      </w:r>
      <w:r>
        <w:rPr>
          <w:b/>
          <w:i/>
          <w:sz w:val="20"/>
        </w:rPr>
        <w:t xml:space="preserve">— Comutabilidad y impacto: </w:t>
      </w:r>
      <w:r>
        <w:rPr>
          <w:sz w:val="20"/>
        </w:rPr>
        <w:t>Hayden, Jones, Fryer evalúan calibración inter-laboratorio.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‘Are we there yet?’: </w:t>
      </w:r>
      <w:r>
        <w:rPr>
          <w:sz w:val="20"/>
        </w:rPr>
        <w:t>Preiksaitis et al. revisan el impacto del estándar OMS.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Estandarización NAT — visión OMS: </w:t>
      </w:r>
      <w:r>
        <w:rPr>
          <w:sz w:val="20"/>
        </w:rPr>
        <w:t>Baylis et al. integran la perspectiva.</w:t>
      </w:r>
    </w:p>
    <w:p>
      <w:pPr>
        <w:keepNext/>
        <w:spacing w:before="200" w:after="40"/>
      </w:pPr>
      <w:r>
        <w:rPr>
          <w:b/>
          <w:sz w:val="22"/>
        </w:rPr>
        <w:t xml:space="preserve"> (2010). </w:t>
      </w:r>
      <w:r>
        <w:rPr>
          <w:sz w:val="22"/>
        </w:rPr>
        <w:t xml:space="preserve">1st WHO International Standard for Human Cytomegalovirus for Nucleic Acid Amplification Techniques.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[2010]</w:t>
      </w:r>
    </w:p>
    <w:p>
      <w:pPr>
        <w:spacing w:after="40"/>
        <w:ind w:left="283"/>
      </w:pPr>
      <w:r>
        <w:rPr>
          <w:sz w:val="22"/>
        </w:rPr>
        <w:t>— Establecimiento del primer Estándar Internacional OMS para CMV en pruebas de amplificación de ácido nucleico (NIBSC 09/162), expresando los resultados en UI/mL.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Soporte normativo de la unidad UI/mL utilizada en toda tu cohorte. Permite enmarcar el cambio de plataformas a un sistema compartido de calibración.</w:t>
      </w:r>
    </w:p>
    <w:p>
      <w:pPr>
        <w:keepNext/>
        <w:spacing w:before="200" w:after="40"/>
      </w:pPr>
      <w:r>
        <w:rPr>
          <w:b/>
          <w:sz w:val="22"/>
        </w:rPr>
        <w:t xml:space="preserve">Fryer et al. (2016). </w:t>
      </w:r>
      <w:r>
        <w:rPr>
          <w:sz w:val="22"/>
        </w:rPr>
        <w:t xml:space="preserve">A collaborative study to establish the 1st WHO International Standard for human cytomegalovirus for nucleic acid amplification technology. </w:t>
      </w:r>
      <w:r>
        <w:rPr>
          <w:i/>
          <w:sz w:val="22"/>
        </w:rPr>
        <w:t>Biologicals.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[fryer2016]</w:t>
      </w:r>
    </w:p>
    <w:p>
      <w:pPr>
        <w:spacing w:after="40"/>
        <w:ind w:left="283"/>
      </w:pPr>
      <w:r>
        <w:rPr>
          <w:sz w:val="22"/>
        </w:rPr>
        <w:t>— Estudio colaborativo para establecer el primer Estándar Internacional OMS de HCMV NAT, con asignación de un valor en UI/mL y evaluación de comutabilidad entre laboratorios.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tu transición técnica con preservación de UI/mL como unidad común a las distintas plataformas usadas.</w:t>
      </w:r>
    </w:p>
    <w:p>
      <w:pPr>
        <w:keepNext/>
        <w:spacing w:before="200" w:after="40"/>
      </w:pPr>
      <w:r>
        <w:rPr>
          <w:b/>
          <w:sz w:val="22"/>
        </w:rPr>
        <w:t xml:space="preserve">Jones et al. (2016). </w:t>
      </w:r>
      <w:r>
        <w:rPr>
          <w:sz w:val="22"/>
        </w:rPr>
        <w:t xml:space="preserve">Commutability of Cytomegalovirus WHO International Standard in Different Matrices.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[jones2016]</w:t>
      </w:r>
    </w:p>
    <w:p>
      <w:pPr>
        <w:spacing w:after="40"/>
        <w:ind w:left="283"/>
      </w:pPr>
      <w:r>
        <w:rPr>
          <w:sz w:val="22"/>
        </w:rPr>
        <w:t>— Comutabilidad del estándar OMS en distintas matrices (sangre completa, plasma): aceptable para plasma pero con desviaciones en sangre completa, lo que recomienda preferir plasma.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directo a la transición de sangre completa a plasma realizada en HU12O; argumento técnico para discutir las diferencias en porcentajes de fallos de genotipado entre periodos con distinta matriz.</w:t>
      </w:r>
    </w:p>
    <w:p>
      <w:pPr>
        <w:keepNext/>
        <w:spacing w:before="200" w:after="40"/>
      </w:pPr>
      <w:r>
        <w:rPr>
          <w:b/>
          <w:sz w:val="22"/>
        </w:rPr>
        <w:t xml:space="preserve">Hayden et al. (2015). </w:t>
      </w:r>
      <w:r>
        <w:rPr>
          <w:sz w:val="22"/>
        </w:rPr>
        <w:t xml:space="preserve">Commutability of the First World Health Organization International Standard for Human Cytomegalovirus.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[hayden2015]</w:t>
      </w:r>
    </w:p>
    <w:p>
      <w:pPr>
        <w:spacing w:after="40"/>
        <w:ind w:left="283"/>
      </w:pPr>
      <w:r>
        <w:rPr>
          <w:sz w:val="22"/>
        </w:rPr>
        <w:t>— Evaluación de comutabilidad del primer estándar OMS de HCMV en plasma: variabilidad inter-laboratorio sigue presente pese a la calibración; los resultados están influenciados por el ensayo y la matriz.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Sustenta tu reflexión sobre la sobreestimación o subestimación entre Altona y VERIS y los problemas de fallos de genotipado relacionados con la cuantificación.</w:t>
      </w:r>
    </w:p>
    <w:p>
      <w:pPr>
        <w:keepNext/>
        <w:spacing w:before="200" w:after="40"/>
      </w:pPr>
      <w:r>
        <w:rPr>
          <w:b/>
          <w:sz w:val="22"/>
        </w:rPr>
        <w:t xml:space="preserve">Preiksaitis et al. (2016). </w:t>
      </w:r>
      <w:r>
        <w:rPr>
          <w:sz w:val="22"/>
        </w:rPr>
        <w:t xml:space="preserve">Are We There Yet? Impact of the First International Standard for Cytomegalovirus DNA on the Harmonization of Results Reported on Plasma Samples.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[preiksaitis2016]</w:t>
      </w:r>
    </w:p>
    <w:p>
      <w:pPr>
        <w:spacing w:after="40"/>
        <w:ind w:left="283"/>
      </w:pPr>
      <w:r>
        <w:rPr>
          <w:sz w:val="22"/>
        </w:rPr>
        <w:t>— Análisis crítico del impacto real del estándar OMS sobre la armonización de resultados: aunque ha mejorado la concordancia inter-laboratorio, persisten variaciones significativas atribuibles a diseño de ensayo y tamaño de amplicón.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Soporta directamente tu argumento metodológico sobre el papel del tamaño de amplicón (75 pb en Altona) en la sobreestimación relativa de la CV cuantificable cuando el ADN no es íntegro.</w:t>
      </w:r>
    </w:p>
    <w:p>
      <w:pPr>
        <w:keepNext/>
        <w:spacing w:before="200" w:after="40"/>
      </w:pPr>
      <w:r>
        <w:rPr>
          <w:b/>
          <w:sz w:val="22"/>
        </w:rPr>
        <w:t xml:space="preserve">Baylis et al. (2019). </w:t>
      </w:r>
      <w:r>
        <w:rPr>
          <w:sz w:val="22"/>
        </w:rPr>
        <w:t xml:space="preserve">Standardization of Nucleic Acid Tests: the Approach of the World Health Organization.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[baylis2019]</w:t>
      </w:r>
    </w:p>
    <w:p>
      <w:pPr>
        <w:spacing w:after="40"/>
        <w:ind w:left="283"/>
      </w:pPr>
      <w:r>
        <w:rPr>
          <w:sz w:val="22"/>
        </w:rPr>
        <w:t>— Visión OMS sobre la estandarización de pruebas de amplificación de ácido nucleico: recoge la metodología y limitaciones para CMV y otros virus.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técnica para la sección de M&amp;M y para la discusión metodológica.</w:t>
      </w:r>
    </w:p>
    <w:p>
      <w:pPr>
        <w:keepNext/>
        <w:spacing w:before="480" w:after="240"/>
      </w:pPr>
      <w:r>
        <w:rPr>
          <w:b/>
          <w:sz w:val="36"/>
        </w:rPr>
        <w:t>Apartado 6.1 — Métodos de cuantificación de la carga viral y genotipado</w:t>
      </w:r>
    </w:p>
    <w:p>
      <w:pPr>
        <w:spacing w:after="120"/>
      </w:pPr>
      <w:r>
        <w:rPr>
          <w:b w:val="0"/>
          <w:i w:val="0"/>
          <w:sz w:val="22"/>
        </w:rPr>
        <w:t>Este apartado agrupa las referencias que sustentan el rendimiento de las plataformas de PCR cuantitativa (sangre completa vs plasma, distintos kits comerciales), la metodología de genotipado por PCR a tiempo real empleada en el Estudio 1, técnicas alternativas (RFLP, secuenciación), y el papel emergente de la NGS para la caracterización viral.</w:t>
      </w:r>
    </w:p>
    <w:p>
      <w:pPr>
        <w:keepNext/>
        <w:spacing w:before="360" w:after="160"/>
      </w:pPr>
      <w:r>
        <w:rPr>
          <w:b/>
          <w:sz w:val="28"/>
        </w:rPr>
        <w:t>6.1.A — Plataformas y variabilidad inter-laboratorio en la cuantificación viral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2013 </w:t>
      </w:r>
      <w:r>
        <w:rPr>
          <w:b/>
          <w:i/>
          <w:sz w:val="20"/>
        </w:rPr>
        <w:t xml:space="preserve">— Variabilidad inter-laboratorio multicéntrica: </w:t>
      </w:r>
      <w:r>
        <w:rPr>
          <w:sz w:val="20"/>
        </w:rPr>
        <w:t>Hirsch et al. demuestran variabilidad significativa pese al estándar OMS.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Comparación qPCRs calibradas a OMS: </w:t>
      </w:r>
      <w:r>
        <w:rPr>
          <w:sz w:val="20"/>
        </w:rPr>
        <w:t>Mannonen et al. validan equivalencia parcial entre kits.</w:t>
      </w:r>
    </w:p>
    <w:p>
      <w:pPr>
        <w:spacing w:after="40"/>
        <w:ind w:left="283"/>
      </w:pPr>
      <w:r>
        <w:rPr>
          <w:b/>
          <w:sz w:val="20"/>
        </w:rPr>
        <w:t xml:space="preserve">2015 </w:t>
      </w:r>
      <w:r>
        <w:rPr>
          <w:b/>
          <w:i/>
          <w:sz w:val="20"/>
        </w:rPr>
        <w:t xml:space="preserve">— Comutabilidad: </w:t>
      </w:r>
      <w:r>
        <w:rPr>
          <w:sz w:val="20"/>
        </w:rPr>
        <w:t>Hayden et al. profundizan en las diferencias por matriz.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Variabilidad nacional España: </w:t>
      </w:r>
      <w:r>
        <w:rPr>
          <w:sz w:val="20"/>
        </w:rPr>
        <w:t>Abbate et al. cuantifican la variabilidad inter-laboratorio nacional.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Sistema automatizado plasma: </w:t>
      </w:r>
      <w:r>
        <w:rPr>
          <w:sz w:val="20"/>
        </w:rPr>
        <w:t>Mengelle et al. evalúan cuantificación automatizada en plasma.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Comparación kits qPCR vs estándar OMS: </w:t>
      </w:r>
      <w:r>
        <w:rPr>
          <w:sz w:val="20"/>
        </w:rPr>
        <w:t>Engelmann et al. comparan kits comerciales.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Métodos de extracción y validación: </w:t>
      </w:r>
      <w:r>
        <w:rPr>
          <w:sz w:val="20"/>
        </w:rPr>
        <w:t>Uwiringiyeyezu et al.; Herdina et al. evalúan rendimiento de plataformas.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Variabilidad inter-laboratorio actualizada y plataformas automatizadas: </w:t>
      </w:r>
      <w:r>
        <w:rPr>
          <w:sz w:val="20"/>
        </w:rPr>
        <w:t>Boutolleau et al.; Sánchez-Simarro et al. cuantifican variabilidad y rendimiento.</w:t>
      </w:r>
    </w:p>
    <w:p>
      <w:pPr>
        <w:keepNext/>
        <w:spacing w:before="200" w:after="40"/>
      </w:pPr>
      <w:r>
        <w:rPr>
          <w:b/>
          <w:sz w:val="22"/>
        </w:rPr>
        <w:t xml:space="preserve">Hirsch et al. (2013). </w:t>
      </w:r>
      <w:r>
        <w:rPr>
          <w:sz w:val="22"/>
        </w:rPr>
        <w:t xml:space="preserve">An International Multicenter Performance Analysis of Cytomegalovirus Load Tests.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[hirsch2013]</w:t>
      </w:r>
    </w:p>
    <w:p>
      <w:pPr>
        <w:spacing w:after="40"/>
        <w:ind w:left="283"/>
      </w:pPr>
      <w:r>
        <w:rPr>
          <w:sz w:val="22"/>
        </w:rPr>
        <w:t>— Estudio multicéntrico internacional sobre la variabilidad de la cuantificación de CMV en distintos laboratorios usando estándares calibrados al OMS: variabilidad inter-laboratorio significativa pese al estándar.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argumento de que las CV cuantificadas no son inmediatamente comparables entre periodos con plataformas distintas y que parte del comportamiento observado (sobre todo % de fallos de genotipado en Altona v1.1) puede tener componente metodológico.</w:t>
      </w:r>
    </w:p>
    <w:p>
      <w:pPr>
        <w:keepNext/>
        <w:spacing w:before="200" w:after="40"/>
      </w:pPr>
      <w:r>
        <w:rPr>
          <w:b/>
          <w:sz w:val="22"/>
        </w:rPr>
        <w:t xml:space="preserve">Mannonen et al. (2014). </w:t>
      </w:r>
      <w:r>
        <w:rPr>
          <w:sz w:val="22"/>
        </w:rPr>
        <w:t xml:space="preserve">Comparison of two quantitative real‐time CMV‐PCR tests calibrated against the 1st WHO international standard for viral load monitoring of renal transplant patients.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[mannonen2014]</w:t>
      </w:r>
    </w:p>
    <w:p>
      <w:pPr>
        <w:spacing w:after="40"/>
        <w:ind w:left="283"/>
      </w:pPr>
      <w:r>
        <w:rPr>
          <w:sz w:val="22"/>
        </w:rPr>
        <w:t>— Comparación de dos pruebas de PCR cuantitativa para CMV calibradas al primer estándar OMS: concordancia razonable pero diferencias sistemáticas según rango de carga viral.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Permite encuadrar tu transición entre Altona en sangre completa, VERIS en plasma y Altona v1.1 en plasma como cambios técnicos con efecto detectable en los resultados.</w:t>
      </w:r>
    </w:p>
    <w:p>
      <w:pPr>
        <w:keepNext/>
        <w:spacing w:before="200" w:after="40"/>
      </w:pPr>
      <w:r>
        <w:rPr>
          <w:b/>
          <w:sz w:val="22"/>
        </w:rPr>
        <w:t xml:space="preserve">Abbate et al. (2016). </w:t>
      </w:r>
      <w:r>
        <w:rPr>
          <w:sz w:val="22"/>
        </w:rPr>
        <w:t xml:space="preserve">Nation-wide measure of variability in HCMV, EBV and BKV DNA quantification among centers involved in monitoring transplanted patients.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[abbate2016]</w:t>
      </w:r>
    </w:p>
    <w:p>
      <w:pPr>
        <w:spacing w:after="40"/>
        <w:ind w:left="283"/>
      </w:pPr>
      <w:r>
        <w:rPr>
          <w:sz w:val="22"/>
        </w:rPr>
        <w:t>— Estudio nacional español sobre variabilidad en la cuantificación de HCMV, EBV y BKV entre centros: variabilidad clínicamente relevante para el manejo de pacientes trasplantados.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Refuerza la lectura nacional de tu argumento metodológico: la variabilidad reportada en HU12O entre periodos no es atípica.</w:t>
      </w:r>
    </w:p>
    <w:p>
      <w:pPr>
        <w:keepNext/>
        <w:spacing w:before="200" w:after="40"/>
      </w:pPr>
      <w:r>
        <w:rPr>
          <w:b/>
          <w:sz w:val="22"/>
        </w:rPr>
        <w:t xml:space="preserve">Mengelle et al. (2016). </w:t>
      </w:r>
      <w:r>
        <w:rPr>
          <w:sz w:val="22"/>
        </w:rPr>
        <w:t xml:space="preserve">Performance of a completely automated system for monitoring CMV DNA in plasma.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[mengelle2016]</w:t>
      </w:r>
    </w:p>
    <w:p>
      <w:pPr>
        <w:spacing w:after="40"/>
        <w:ind w:left="283"/>
      </w:pPr>
      <w:r>
        <w:rPr>
          <w:sz w:val="22"/>
        </w:rPr>
        <w:t>— Evaluación del rendimiento de un sistema automatizado para monitorización de CMV en plasma: alta correlación con métodos manuales y reducción de tiempos.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transición a sistemas automatizados (VERIS y Altona) en HU12O.</w:t>
      </w:r>
    </w:p>
    <w:p>
      <w:pPr>
        <w:keepNext/>
        <w:spacing w:before="200" w:after="40"/>
      </w:pPr>
      <w:r>
        <w:rPr>
          <w:b/>
          <w:sz w:val="22"/>
        </w:rPr>
        <w:t xml:space="preserve">Engelmann et al. (2018). </w:t>
      </w:r>
      <w:r>
        <w:rPr>
          <w:sz w:val="22"/>
        </w:rPr>
        <w:t xml:space="preserve">Comparison of two commercial quantitative PCR assays and correlation with the first WHO International Standard for human CMV. </w:t>
      </w:r>
      <w:r>
        <w:rPr>
          <w:i/>
          <w:sz w:val="22"/>
        </w:rPr>
        <w:t>Diagnostic Microbiology and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[engelmann2018]</w:t>
      </w:r>
    </w:p>
    <w:p>
      <w:pPr>
        <w:spacing w:after="40"/>
        <w:ind w:left="283"/>
      </w:pPr>
      <w:r>
        <w:rPr>
          <w:sz w:val="22"/>
        </w:rPr>
        <w:t>— Comparación de dos pruebas comerciales de qPCR cuantitativa de CMV con el estándar OMS: diferencias entre kits del orden de 0,5–1 log que pueden generar discordancias clínicas.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Soporte directo para advertir que los pacientes con CV cercanas al umbral 1.000 UI/mL pueden ser clasificados de modo distinto según el kit empleado, lo que tiene implicaciones para la inclusión/exclusión de muestras en tu cohorte de genotipado.</w:t>
      </w:r>
    </w:p>
    <w:p>
      <w:pPr>
        <w:keepNext/>
        <w:spacing w:before="200" w:after="40"/>
      </w:pPr>
      <w:r>
        <w:rPr>
          <w:b/>
          <w:sz w:val="22"/>
        </w:rPr>
        <w:t xml:space="preserve">Uwiringiyeyezu et al. (2022). </w:t>
      </w:r>
      <w:r>
        <w:rPr>
          <w:sz w:val="22"/>
        </w:rPr>
        <w:t xml:space="preserve">Comparability of CMV DNA Extraction Methods and Validation of Viral Load. </w:t>
      </w:r>
      <w:r>
        <w:rPr>
          <w:i/>
          <w:sz w:val="22"/>
        </w:rPr>
        <w:t>Methods and Protocols.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[uwiringiyeyezu2022]</w:t>
      </w:r>
    </w:p>
    <w:p>
      <w:pPr>
        <w:spacing w:after="40"/>
        <w:ind w:left="283"/>
      </w:pPr>
      <w:r>
        <w:rPr>
          <w:sz w:val="22"/>
        </w:rPr>
        <w:t>— Comparabilidad de métodos de extracción de ADN de CMV: el rendimiento del genotipado depende parcialmente del método de extracción, no solo de la PCR de cuantificación.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Sustenta tu segunda extracción con menor volumen de elución (25 µL) para concentrar ADN antes de re-genotipar la glucoproteína negativa.</w:t>
      </w:r>
    </w:p>
    <w:p>
      <w:pPr>
        <w:keepNext/>
        <w:spacing w:before="200" w:after="40"/>
      </w:pPr>
      <w:r>
        <w:rPr>
          <w:b/>
          <w:sz w:val="22"/>
        </w:rPr>
        <w:t xml:space="preserve">Herdina et al. (2022). </w:t>
      </w:r>
      <w:r>
        <w:rPr>
          <w:sz w:val="22"/>
        </w:rPr>
        <w:t xml:space="preserve">Performance Evaluation of the Fully Automated NeuMoDx RT-PCR Platform for the Quantification of CMV and EBV DNA in EDTA Plasma: Implications for Clinical Management and Establishment of a Conversion Formula. </w:t>
      </w:r>
      <w:r>
        <w:rPr>
          <w:i/>
          <w:sz w:val="22"/>
        </w:rPr>
        <w:t>Microbiology Spectrum.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[herdina2022]</w:t>
      </w:r>
    </w:p>
    <w:p>
      <w:pPr>
        <w:spacing w:after="40"/>
        <w:ind w:left="283"/>
      </w:pPr>
      <w:r>
        <w:rPr>
          <w:sz w:val="22"/>
        </w:rPr>
        <w:t>— Evaluación de la plataforma NeuMoDx RT-PCR para cuantificación de CMV: rendimiento equiparable a sistemas precedentes con tiempos de respuesta menores.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Contexto técnico para encuadrar las plataformas que potencialmente serán sucesores de las usadas en tu cohorte.</w:t>
      </w:r>
    </w:p>
    <w:p>
      <w:pPr>
        <w:keepNext/>
        <w:spacing w:before="200" w:after="40"/>
      </w:pPr>
      <w:r>
        <w:rPr>
          <w:b/>
          <w:sz w:val="22"/>
        </w:rPr>
        <w:t xml:space="preserve">Boutolleau et al. (2025). </w:t>
      </w:r>
      <w:r>
        <w:rPr>
          <w:sz w:val="22"/>
        </w:rPr>
        <w:t xml:space="preserve">Inter-laboratory variability in cytomegalovirus DNA quantification: implications for standardization and clinical monitoring.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[boutolleau2025]</w:t>
      </w:r>
    </w:p>
    <w:p>
      <w:pPr>
        <w:spacing w:after="40"/>
        <w:ind w:left="283"/>
      </w:pPr>
      <w:r>
        <w:rPr>
          <w:sz w:val="22"/>
        </w:rPr>
        <w:t>— Estudio actualizado sobre la variabilidad inter-laboratorio en la cuantificación de CMV: pese a más de una década del estándar OMS, persisten diferencias sistemáticas entre laboratorios y plataformas, especialmente en el rango bajo (&lt;1.000 UI/mL).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La principal evidencia reciente para apoyar tu interpretación metodológica de fallos de genotipado en muestras con CV cercana al umbral.</w:t>
      </w:r>
    </w:p>
    <w:p>
      <w:pPr>
        <w:keepNext/>
        <w:spacing w:before="200" w:after="40"/>
      </w:pPr>
      <w:r>
        <w:rPr>
          <w:b/>
          <w:sz w:val="22"/>
        </w:rPr>
        <w:t xml:space="preserve">Sánchez-Simarro et al. (2025). </w:t>
      </w:r>
      <w:r>
        <w:rPr>
          <w:sz w:val="22"/>
        </w:rPr>
        <w:t xml:space="preserve">Impact of automated nucleic acid extraction platforms on plasma Cytomegalovirus DNA loads quantitated by real-time PCR normalized to the 1st WHO international standard. </w:t>
      </w:r>
      <w:r>
        <w:rPr>
          <w:i/>
          <w:sz w:val="22"/>
        </w:rPr>
        <w:t>Enfermedades Infecciosas y Microbiología Clínica.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[sanchez-simarro2025]</w:t>
      </w:r>
    </w:p>
    <w:p>
      <w:pPr>
        <w:spacing w:after="40"/>
        <w:ind w:left="283"/>
      </w:pPr>
      <w:r>
        <w:rPr>
          <w:sz w:val="22"/>
        </w:rPr>
        <w:t>— Impacto de plataformas automatizadas de extracción sobre la cuantificación de CMV en plasma: las distintas plataformas pueden generar diferencias sistemáticas atribuibles al rendimiento de extracción del ADN viral.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Refuerza el argumento metodológico sobre por qué el porcentaje de fallos de genotipado puede variar entre periodos sin necesidad de invocar diferencias virológicas.</w:t>
      </w:r>
    </w:p>
    <w:p>
      <w:pPr>
        <w:keepNext/>
        <w:spacing w:before="360" w:after="160"/>
      </w:pPr>
      <w:r>
        <w:rPr>
          <w:b/>
          <w:sz w:val="28"/>
        </w:rPr>
        <w:t>6.1.B — Plasma vs sangre completa: forma del ADN y rendimiento del ensayo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2002 </w:t>
      </w:r>
      <w:r>
        <w:rPr>
          <w:b/>
          <w:i/>
          <w:sz w:val="20"/>
        </w:rPr>
        <w:t xml:space="preserve">— DNA en plasma vs suero: </w:t>
      </w:r>
      <w:r>
        <w:rPr>
          <w:sz w:val="20"/>
        </w:rPr>
        <w:t>Boom et al. demuestran detectabilidad clínicamente útil en plasma.</w:t>
      </w:r>
    </w:p>
    <w:p>
      <w:pPr>
        <w:spacing w:after="40"/>
        <w:ind w:left="283"/>
      </w:pPr>
      <w:r>
        <w:rPr>
          <w:b/>
          <w:sz w:val="20"/>
        </w:rPr>
        <w:t xml:space="preserve">2011 </w:t>
      </w:r>
      <w:r>
        <w:rPr>
          <w:b/>
          <w:i/>
          <w:sz w:val="20"/>
        </w:rPr>
        <w:t xml:space="preserve">— Sangre completa vs plasma — utilidad clínica: </w:t>
      </w:r>
      <w:r>
        <w:rPr>
          <w:sz w:val="20"/>
        </w:rPr>
        <w:t>Lisboa et al. comparan ambas matrices en monitorización.</w:t>
      </w:r>
    </w:p>
    <w:p>
      <w:pPr>
        <w:spacing w:after="40"/>
        <w:ind w:left="283"/>
      </w:pPr>
      <w:r>
        <w:rPr>
          <w:b/>
          <w:sz w:val="20"/>
        </w:rPr>
        <w:t xml:space="preserve">2013 </w:t>
      </w:r>
      <w:r>
        <w:rPr>
          <w:b/>
          <w:i/>
          <w:sz w:val="20"/>
        </w:rPr>
        <w:t xml:space="preserve">— Utilidad clínica de la CV: </w:t>
      </w:r>
      <w:r>
        <w:rPr>
          <w:sz w:val="20"/>
        </w:rPr>
        <w:t>Razonable y Hayden integran el papel clínico de la CV.</w:t>
      </w:r>
    </w:p>
    <w:p>
      <w:pPr>
        <w:spacing w:after="40"/>
        <w:ind w:left="283"/>
      </w:pPr>
      <w:r>
        <w:rPr>
          <w:b/>
          <w:sz w:val="20"/>
        </w:rPr>
        <w:t xml:space="preserve">2015 </w:t>
      </w:r>
      <w:r>
        <w:rPr>
          <w:b/>
          <w:i/>
          <w:sz w:val="20"/>
        </w:rPr>
        <w:t xml:space="preserve">— Dos ensayos sangre completa/plasma: </w:t>
      </w:r>
      <w:r>
        <w:rPr>
          <w:sz w:val="20"/>
        </w:rPr>
        <w:t>Babady et al. comparan dos ensayos.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Forma biológica del ADN en plasma: </w:t>
      </w:r>
      <w:r>
        <w:rPr>
          <w:sz w:val="20"/>
        </w:rPr>
        <w:t>Tong et al. caracterizan el ADN libre y encapsidado.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Variabilidad y longitud de amplicón: </w:t>
      </w:r>
      <w:r>
        <w:rPr>
          <w:sz w:val="20"/>
        </w:rPr>
        <w:t>Naegele et al. asocian variabilidad de secuencia con rendimiento.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Factores que influyen en CMV-DNA — HU12O: </w:t>
      </w:r>
      <w:r>
        <w:rPr>
          <w:sz w:val="20"/>
        </w:rPr>
        <w:t>Vinuesa et al. caracterizan factores en sangre completa y plasma.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Perfil de ADN libre: </w:t>
      </w:r>
      <w:r>
        <w:rPr>
          <w:sz w:val="20"/>
        </w:rPr>
        <w:t>Peddu et al. perfilan cfDNA en plasma.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Tipo de muestra y resultado: </w:t>
      </w:r>
      <w:r>
        <w:rPr>
          <w:sz w:val="20"/>
        </w:rPr>
        <w:t>Rzepka et al. evalúan el efecto del tipo de muestra.</w:t>
      </w:r>
    </w:p>
    <w:p>
      <w:pPr>
        <w:spacing w:after="40"/>
        <w:ind w:left="283"/>
      </w:pPr>
      <w:r>
        <w:rPr>
          <w:b/>
          <w:sz w:val="20"/>
        </w:rPr>
        <w:t xml:space="preserve">2023 </w:t>
      </w:r>
      <w:r>
        <w:rPr>
          <w:b/>
          <w:i/>
          <w:sz w:val="20"/>
        </w:rPr>
        <w:t xml:space="preserve">— Tamaño de amplicón y ADN no encapsidado: </w:t>
      </w:r>
      <w:r>
        <w:rPr>
          <w:sz w:val="20"/>
        </w:rPr>
        <w:t>Leuzinger et al. demuestran efecto sobre la cuantificación.</w:t>
      </w:r>
    </w:p>
    <w:p>
      <w:pPr>
        <w:keepNext/>
        <w:spacing w:before="200" w:after="40"/>
      </w:pPr>
      <w:r>
        <w:rPr>
          <w:b/>
          <w:sz w:val="22"/>
        </w:rPr>
        <w:t xml:space="preserve">Boom et al. (2002). </w:t>
      </w:r>
      <w:r>
        <w:rPr>
          <w:sz w:val="22"/>
        </w:rPr>
        <w:t xml:space="preserve">Human Cytomegalovirus DNA in Plasma and Serum Specimens of Renal Transplant Recipients Is Highly Fragmented.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[boom2002]</w:t>
      </w:r>
    </w:p>
    <w:p>
      <w:pPr>
        <w:spacing w:after="40"/>
        <w:ind w:left="283"/>
      </w:pPr>
      <w:r>
        <w:rPr>
          <w:sz w:val="22"/>
        </w:rPr>
        <w:t>— Demuestran que el ADN de HCMV es detectable de forma fiable en plasma de RTR, abriendo el camino para sustituir la antigenemia por la PCR plasma como herramienta de monitorización.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Marco histórico de la transición a plasma realizada en HU12O en 2017.</w:t>
      </w:r>
    </w:p>
    <w:p>
      <w:pPr>
        <w:keepNext/>
        <w:spacing w:before="200" w:after="40"/>
      </w:pPr>
      <w:r>
        <w:rPr>
          <w:b/>
          <w:sz w:val="22"/>
        </w:rPr>
        <w:t xml:space="preserve">Lisboa et al. (2011). </w:t>
      </w:r>
      <w:r>
        <w:rPr>
          <w:sz w:val="22"/>
        </w:rPr>
        <w:t xml:space="preserve">The Clinical Utility of Whole Blood Versus Plasma Cytomegalovirus Viral Load Assays for Monitoring Therapeutic Response. </w:t>
      </w:r>
      <w:r>
        <w:rPr>
          <w:i/>
          <w:sz w:val="22"/>
        </w:rPr>
        <w:t>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[lisboa2011]</w:t>
      </w:r>
    </w:p>
    <w:p>
      <w:pPr>
        <w:spacing w:after="40"/>
        <w:ind w:left="283"/>
      </w:pPr>
      <w:r>
        <w:rPr>
          <w:sz w:val="22"/>
        </w:rPr>
        <w:t>— Comparación entre sangre completa y plasma para monitorización clínica de CMV: la sangre completa proporciona CV mayores en log, pero plasma muestra mejor correlación con la enfermedad y mejor comutabilidad inter-laboratorio.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Apoya tu transición de sangre completa a plasma en 2017 y tu interpretación de que la cuantificación en plasma puede infraestimar la cantidad total de ADN viral disponible para genotipado (asociado al uso de plasma con kits que amplifican fragmentos cortos).</w:t>
      </w:r>
    </w:p>
    <w:p>
      <w:pPr>
        <w:keepNext/>
        <w:spacing w:before="200" w:after="40"/>
      </w:pPr>
      <w:r>
        <w:rPr>
          <w:b/>
          <w:sz w:val="22"/>
        </w:rPr>
        <w:t xml:space="preserve">Razonable y Hayden (2013). </w:t>
      </w:r>
      <w:r>
        <w:rPr>
          <w:sz w:val="22"/>
        </w:rPr>
        <w:t xml:space="preserve">Clinical Utility of Viral Load in Management of Cytomegalovirus Infection after Solid Organ Transplantation. </w:t>
      </w:r>
      <w:r>
        <w:rPr>
          <w:i/>
          <w:sz w:val="22"/>
        </w:rPr>
        <w:t>Clinical Microbiology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[razonable2013]</w:t>
      </w:r>
    </w:p>
    <w:p>
      <w:pPr>
        <w:spacing w:after="40"/>
        <w:ind w:left="283"/>
      </w:pPr>
      <w:r>
        <w:rPr>
          <w:sz w:val="22"/>
        </w:rPr>
        <w:t>— Revisión de la utilidad clínica de la CV en el manejo de CMV postrasplante: la cinética viral (tiempo de aclaramiento, CV pico, AUC) tiene valor predictivo de enfermedad y de respuesta al tratamiento.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tus análisis de cinética por genotipo (gB3 con AUC mayor) y para la aproximación multivariante a la duración del aclaramiento.</w:t>
      </w:r>
    </w:p>
    <w:p>
      <w:pPr>
        <w:keepNext/>
        <w:spacing w:before="200" w:after="40"/>
      </w:pPr>
      <w:r>
        <w:rPr>
          <w:b/>
          <w:sz w:val="22"/>
        </w:rPr>
        <w:t xml:space="preserve">Babady et al. (2015). </w:t>
      </w:r>
      <w:r>
        <w:rPr>
          <w:sz w:val="22"/>
        </w:rPr>
        <w:t xml:space="preserve">Monitoring of Cytomegalovirus Viral Loads by Two Molecular Assays in Whole-Blood and Plasma Samples from Hematopoietic Stem Cell Transplant Recipients.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[babady2015a]</w:t>
      </w:r>
    </w:p>
    <w:p>
      <w:pPr>
        <w:spacing w:after="40"/>
        <w:ind w:left="283"/>
      </w:pPr>
      <w:r>
        <w:rPr>
          <w:sz w:val="22"/>
        </w:rPr>
        <w:t>— Comparación de dos ensayos moleculares para monitorización de CMV en sangre completa vs plasma: rendimiento similar pero con diferencias absolutas que requieren consistencia de matriz para seguimiento individualizado.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Útil para discutir que comparar CV entre periodos con matrices distintas en tu cohorte exige cautela.</w:t>
      </w:r>
    </w:p>
    <w:p>
      <w:pPr>
        <w:keepNext/>
        <w:spacing w:before="200" w:after="40"/>
      </w:pPr>
      <w:r>
        <w:rPr>
          <w:b/>
          <w:sz w:val="22"/>
        </w:rPr>
        <w:t xml:space="preserve">Tong et al. (2017). </w:t>
      </w:r>
      <w:r>
        <w:rPr>
          <w:sz w:val="22"/>
        </w:rPr>
        <w:t xml:space="preserve">Determination of the Biological Form of Human Cytomegalovirus DNA in the Plasma of Solid-Organ Transplant Recipients.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[tong2017]</w:t>
      </w:r>
    </w:p>
    <w:p>
      <w:pPr>
        <w:spacing w:after="40"/>
        <w:ind w:left="283"/>
      </w:pPr>
      <w:r>
        <w:rPr>
          <w:sz w:val="22"/>
        </w:rPr>
        <w:t>— Caracterización de la forma biológica del ADN de HCMV en plasma de pacientes TOS: la mayor parte del ADN circula como fragmentos cortos no encapsidados (cfDNA) que pueden amplificarse mejor con primers cortos pero peor con amplicones largos requeridos para genotipado.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mecanístico directo a tu hipótesis sobre la sobreestimación relativa de la CV cuantificable cuando el ADN íntegro disponible para genotipado es escaso.</w:t>
      </w:r>
    </w:p>
    <w:p>
      <w:pPr>
        <w:keepNext/>
        <w:spacing w:before="200" w:after="40"/>
      </w:pPr>
      <w:r>
        <w:rPr>
          <w:b/>
          <w:sz w:val="22"/>
        </w:rPr>
        <w:t xml:space="preserve">Naegele et al. (2018). </w:t>
      </w:r>
      <w:r>
        <w:rPr>
          <w:sz w:val="22"/>
        </w:rPr>
        <w:t xml:space="preserve">Cytomegalovirus sequence variability, amplicon length, and DNase-sensitive non-encapsidated genomes are obstacles to standardization and commutability of plasma viral load results. </w:t>
      </w:r>
      <w:r>
        <w:rPr>
          <w:i/>
          <w:sz w:val="22"/>
        </w:rPr>
        <w:t>Journal of Clinical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[naegele2018]</w:t>
      </w:r>
    </w:p>
    <w:p>
      <w:pPr>
        <w:spacing w:after="40"/>
        <w:ind w:left="283"/>
      </w:pPr>
      <w:r>
        <w:rPr>
          <w:sz w:val="22"/>
        </w:rPr>
        <w:t>— La variabilidad de secuencia de CMV y la longitud del amplicón impactan la cuantificación: amplicones cortos amplifican incluso ADN parcialmente degradado, mientras que amplicones largos requieren ADN más íntegro.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Apoya literalmente tu argumento sobre el tamaño del amplicón Altona (75 pb) como factor que permite cuantificar ADN no apto para ensayos posteriores que requieren mayor longitud, contribuyendo a la mayor proporción de fallos de genotipado en el periodo Altona v1.1.</w:t>
      </w:r>
    </w:p>
    <w:p>
      <w:pPr>
        <w:keepNext/>
        <w:spacing w:before="200" w:after="40"/>
      </w:pPr>
      <w:r>
        <w:rPr>
          <w:b/>
          <w:sz w:val="22"/>
        </w:rPr>
        <w:t xml:space="preserve">Vinuesa et al. (2019). </w:t>
      </w:r>
      <w:r>
        <w:rPr>
          <w:sz w:val="22"/>
        </w:rPr>
        <w:t xml:space="preserve">Factors influencing cytomegalovirus DNA load measurements in whole blood and plasma specimens from allogeneic hematopoietic stem cell transplant recipients. </w:t>
      </w:r>
      <w:r>
        <w:rPr>
          <w:i/>
          <w:sz w:val="22"/>
        </w:rPr>
        <w:t>Diagnostic Microbiology and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[vinuesa2019b]</w:t>
      </w:r>
    </w:p>
    <w:p>
      <w:pPr>
        <w:spacing w:after="40"/>
        <w:ind w:left="283"/>
      </w:pPr>
      <w:r>
        <w:rPr>
          <w:sz w:val="22"/>
        </w:rPr>
        <w:t>— Trabajo HU12O que caracteriza factores que influyen en la cuantificación de CMV en sangre completa y plasma: incluyen estado de inmunidad, tiempo postrasplante, glucoproteína y tipo de muestra.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Antecedente metodológico de tu propio centro. Útil para enmarcar la transición técnica realizada y los resultados observados.</w:t>
      </w:r>
    </w:p>
    <w:p>
      <w:pPr>
        <w:keepNext/>
        <w:spacing w:before="200" w:after="40"/>
      </w:pPr>
      <w:r>
        <w:rPr>
          <w:b/>
          <w:sz w:val="22"/>
        </w:rPr>
        <w:t xml:space="preserve">Peddu et al. (2020). </w:t>
      </w:r>
      <w:r>
        <w:rPr>
          <w:sz w:val="22"/>
        </w:rPr>
        <w:t xml:space="preserve">High-resolution profiling of human cytomegalovirus cell-free DNA in human plasma highlights its exceptionally fragmented nature. </w:t>
      </w:r>
      <w:r>
        <w:rPr>
          <w:i/>
          <w:sz w:val="22"/>
        </w:rPr>
        <w:t>Scientific Reports.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[peddu2020]</w:t>
      </w:r>
    </w:p>
    <w:p>
      <w:pPr>
        <w:spacing w:after="40"/>
        <w:ind w:left="283"/>
      </w:pPr>
      <w:r>
        <w:rPr>
          <w:sz w:val="22"/>
        </w:rPr>
        <w:t>— Perfilado de alta resolución de cfDNA de HCMV en plasma: distribución de tamaños de fragmentos compatible con apoptosis/necrosis celular, no con virus encapsidado.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Refuerza el argumento del tamaño de amplicón: el cfDNA fragmentado se cuantifica fácilmente con amplicones cortos (75 pb) pero no permite genotipar.</w:t>
      </w:r>
    </w:p>
    <w:p>
      <w:pPr>
        <w:keepNext/>
        <w:spacing w:before="200" w:after="40"/>
      </w:pPr>
      <w:r>
        <w:rPr>
          <w:b/>
          <w:sz w:val="22"/>
        </w:rPr>
        <w:t xml:space="preserve">Rzepka et al. (2022). </w:t>
      </w:r>
      <w:r>
        <w:rPr>
          <w:sz w:val="22"/>
        </w:rPr>
        <w:t xml:space="preserve">Whole Blood versus Plasma Samples—How Does the Type of Specimen Collected for Testing Affect the Monitoring of Cytomegalovirus Viremia?. </w:t>
      </w:r>
      <w:r>
        <w:rPr>
          <w:i/>
          <w:sz w:val="22"/>
        </w:rPr>
        <w:t>Pathogens.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[rzepka2022a]</w:t>
      </w:r>
    </w:p>
    <w:p>
      <w:pPr>
        <w:spacing w:after="40"/>
        <w:ind w:left="283"/>
      </w:pPr>
      <w:r>
        <w:rPr>
          <w:sz w:val="22"/>
        </w:rPr>
        <w:t>— Estudio sobre el efecto del tipo de muestra (sangre completa vs plasma) en el rendimiento del ensayo de PCR cuantitativa: confirma que la matriz tiene efecto sistemático, lo que se traduce en discordancias absolutas pero no relativas entre pacientes.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tu transición de matriz preservando la unidad UI/mL.</w:t>
      </w:r>
    </w:p>
    <w:p>
      <w:pPr>
        <w:keepNext/>
        <w:spacing w:before="200" w:after="40"/>
      </w:pPr>
      <w:r>
        <w:rPr>
          <w:b/>
          <w:sz w:val="22"/>
        </w:rPr>
        <w:t xml:space="preserve">Leuzinger y Hirsch (2023). </w:t>
      </w:r>
      <w:r>
        <w:rPr>
          <w:sz w:val="22"/>
        </w:rPr>
        <w:t xml:space="preserve">Amplicon size and non‐encapsidated DNA fragments define plasma cytomegalovirus DNA loads by automated nucleic acid testing platforms: A marker of viral cytopathology?.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[leuzinger2023]</w:t>
      </w:r>
    </w:p>
    <w:p>
      <w:pPr>
        <w:spacing w:after="40"/>
        <w:ind w:left="283"/>
      </w:pPr>
      <w:r>
        <w:rPr>
          <w:sz w:val="22"/>
        </w:rPr>
        <w:t>— Demuestra que el tamaño del amplicón y la fracción de ADN no encapsidado definen la CV plasmática: la CV reportada por kits con amplicón corto es mayor que la CV ‘real’ encapsidada cuando hay alta proporción de cfDNA.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y reciente a tu argumento metodológico sobre Altona 75 pb. Permite citar trabajos de 2018, 2020 y 2023 (Naegele, Peddu, Leuzinger) como cadena de evidencia consistente.</w:t>
      </w:r>
    </w:p>
    <w:p>
      <w:pPr>
        <w:keepNext/>
        <w:spacing w:before="360" w:after="160"/>
      </w:pPr>
      <w:r>
        <w:rPr>
          <w:b/>
          <w:sz w:val="28"/>
        </w:rPr>
        <w:t>6.1.C — Antigenemia pp65 y transición a PCR</w:t>
      </w:r>
    </w:p>
    <w:p>
      <w:pPr>
        <w:keepNext/>
        <w:spacing w:before="200" w:after="40"/>
      </w:pPr>
      <w:r>
        <w:rPr>
          <w:b/>
          <w:sz w:val="22"/>
        </w:rPr>
        <w:t xml:space="preserve">Hernando et al. (2005). </w:t>
      </w:r>
      <w:r>
        <w:rPr>
          <w:sz w:val="22"/>
        </w:rPr>
        <w:t xml:space="preserve">Comparison of Cytomegalovirus Viral Load Measure by Real-Time PCR With pp65 Antigenemia for the Diagnosis of Cytomegalovirus Disease in Solid Organ Transplant Patients. </w:t>
      </w:r>
      <w:r>
        <w:rPr>
          <w:i/>
          <w:sz w:val="22"/>
        </w:rPr>
        <w:t>Transplantation Proceedings.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[hernando2005]</w:t>
      </w:r>
    </w:p>
    <w:p>
      <w:pPr>
        <w:spacing w:after="40"/>
        <w:ind w:left="283"/>
      </w:pPr>
      <w:r>
        <w:rPr>
          <w:sz w:val="22"/>
        </w:rPr>
        <w:t>— Comparación de la PCR a tiempo real con la antigenemia pp65 para diagnóstico de CMV en TOS: PCR ofrece mejor sensibilidad y rapidez, manteniendo concordancia clínica con la antigenemia.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Antecedente HU12O directamente relacionado con la cohorte de la que se seleccionó la cohorte del Estudio 1 inicialmente (Barrado 2018 partió de 162 muestras de Hernando 2005).</w:t>
      </w:r>
    </w:p>
    <w:p>
      <w:pPr>
        <w:keepNext/>
        <w:spacing w:before="200" w:after="40"/>
      </w:pPr>
      <w:r>
        <w:rPr>
          <w:b/>
          <w:sz w:val="22"/>
        </w:rPr>
        <w:t xml:space="preserve">Sánchez-Simarro et al. (2025). </w:t>
      </w:r>
      <w:r>
        <w:rPr>
          <w:sz w:val="22"/>
        </w:rPr>
        <w:t xml:space="preserve">Impact of automated nucleic acid extraction platforms on plasma Cytomegalovirus DNA loads quantitated by real-time PCR normalized to the 1st WHO international standard. </w:t>
      </w:r>
      <w:r>
        <w:rPr>
          <w:i/>
          <w:sz w:val="22"/>
        </w:rPr>
        <w:t>Enfermedades Infecciosas y Microbiología Clínica.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[sanchez-simarro2025]</w:t>
      </w:r>
    </w:p>
    <w:p>
      <w:pPr>
        <w:spacing w:after="40"/>
        <w:ind w:left="283"/>
      </w:pPr>
      <w:r>
        <w:rPr>
          <w:sz w:val="22"/>
        </w:rPr>
        <w:t>— Ya tratada en 6.1.A. Mencionar conjuntamente para describir la evolución de la metodología de cuantificación.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cruzada.</w:t>
      </w:r>
    </w:p>
    <w:p>
      <w:pPr>
        <w:keepNext/>
        <w:spacing w:before="360" w:after="160"/>
      </w:pPr>
      <w:r>
        <w:rPr>
          <w:b/>
          <w:sz w:val="28"/>
        </w:rPr>
        <w:t>6.1.D — Genotipado por PCR a tiempo real (técnica del Estudio 1)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2008 </w:t>
      </w:r>
      <w:r>
        <w:rPr>
          <w:b/>
          <w:i/>
          <w:sz w:val="20"/>
        </w:rPr>
        <w:t xml:space="preserve">— Pang et al.: </w:t>
      </w:r>
      <w:r>
        <w:rPr>
          <w:sz w:val="20"/>
        </w:rPr>
        <w:t>qPCR concurrente para genotipo gB y CV con sondas MGB; 100% concordancia con RFA, 17% mixtos.</w:t>
      </w:r>
    </w:p>
    <w:p>
      <w:pPr>
        <w:spacing w:after="40"/>
        <w:ind w:left="283"/>
      </w:pPr>
      <w:r>
        <w:rPr>
          <w:b/>
          <w:sz w:val="20"/>
        </w:rPr>
        <w:t xml:space="preserve">2010 </w:t>
      </w:r>
      <w:r>
        <w:rPr>
          <w:b/>
          <w:i/>
          <w:sz w:val="20"/>
        </w:rPr>
        <w:t xml:space="preserve">— Pignatelli et al.: </w:t>
      </w:r>
      <w:r>
        <w:rPr>
          <w:sz w:val="20"/>
        </w:rPr>
        <w:t>Multiplex PCR para amplificación simultánea de glucoproteínas.</w:t>
      </w:r>
    </w:p>
    <w:p>
      <w:pPr>
        <w:spacing w:after="40"/>
        <w:ind w:left="283"/>
      </w:pPr>
      <w:r>
        <w:rPr>
          <w:b/>
          <w:sz w:val="20"/>
        </w:rPr>
        <w:t xml:space="preserve">2012 </w:t>
      </w:r>
      <w:r>
        <w:rPr>
          <w:b/>
          <w:i/>
          <w:sz w:val="20"/>
        </w:rPr>
        <w:t xml:space="preserve">— De Vries et al.: </w:t>
      </w:r>
      <w:r>
        <w:rPr>
          <w:sz w:val="20"/>
        </w:rPr>
        <w:t>Rapid genotyping en DBS con PCR multiplex tiempo real para gB y gH (METODOLOGÍA BASE TESIS).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Barrado et al. (HU12O): </w:t>
      </w:r>
      <w:r>
        <w:rPr>
          <w:sz w:val="20"/>
        </w:rPr>
        <w:t>Aplicación a cohorte de TOS no pulmonar — predicción de enfermedad.</w:t>
      </w:r>
    </w:p>
    <w:p>
      <w:pPr>
        <w:keepNext/>
        <w:spacing w:before="200" w:after="40"/>
      </w:pPr>
      <w:r>
        <w:rPr>
          <w:b/>
          <w:sz w:val="22"/>
        </w:rPr>
        <w:t xml:space="preserve">Pang et al. (2008). </w:t>
      </w:r>
      <w:r>
        <w:rPr>
          <w:sz w:val="22"/>
        </w:rPr>
        <w:t xml:space="preserve">Concurrent Genotyping and Quantitation of Cytomegalovirus gB Genotypes in Solid-Organ-Transplant Recipients by Use of a Real-Time PCR Assay. </w:t>
      </w:r>
      <w:r>
        <w:rPr>
          <w:i/>
          <w:sz w:val="22"/>
        </w:rPr>
        <w:t>Journal of Clinical Microbiology.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[pang2008]</w:t>
      </w:r>
    </w:p>
    <w:p>
      <w:pPr>
        <w:spacing w:after="40"/>
        <w:ind w:left="283"/>
      </w:pPr>
      <w:r>
        <w:rPr>
          <w:sz w:val="22"/>
        </w:rPr>
        <w:t>— Desarrollo y validación de un ensayo qPCR concurrente para genotipo gB y cuantificación viral en TOS, basado en sondas MGB diseñadas sobre polimorfismos del gen gB. 100% de concordancia con RFA.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Validación metodológica del genotipado por PCR a tiempo real como equivalente al gold-standard RFLP, sustentando la validez técnica del genotipado realizado en tu cohorte.</w:t>
      </w:r>
    </w:p>
    <w:p>
      <w:pPr>
        <w:spacing w:after="40"/>
        <w:ind w:left="283"/>
      </w:pPr>
      <w:r>
        <w:rPr>
          <w:sz w:val="22"/>
        </w:rPr>
        <w:t>— La distribución por genotipo único en 121 muestras de TOS: gB1 50,4%, gB2 21,0%, gB3 9,1%, gB4 2,5%; mixtos en 17% (20/121).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 (otra cohorte) para tu distribución por muestra (gB1 38,7%, gB3 36,6%, gB2 13,4%, gB4 11,3%, mixtos 21,3%). gB3 sustancialmente más frecuente en tu cohorte que en la suya. Permite discutir variación geográfica y por tipo de TOS.</w:t>
      </w:r>
    </w:p>
    <w:p>
      <w:pPr>
        <w:spacing w:after="40"/>
        <w:ind w:left="283"/>
      </w:pPr>
      <w:r>
        <w:rPr>
          <w:sz w:val="22"/>
        </w:rPr>
        <w:t>— Pacientes con genotipos mixtos presentaron CV significativamente mayores que los de genotipo único (p=0,019).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directo a tu hallazgo de CV mayor en mixtos gB (mediana 3.667 vs 2.924 UI/mL; p=0,021).</w:t>
      </w:r>
    </w:p>
    <w:p>
      <w:pPr>
        <w:keepNext/>
        <w:spacing w:before="200" w:after="40"/>
      </w:pPr>
      <w:r>
        <w:rPr>
          <w:b/>
          <w:sz w:val="22"/>
        </w:rPr>
        <w:t xml:space="preserve">Pignatelli et al. (2010). </w:t>
      </w:r>
      <w:r>
        <w:rPr>
          <w:sz w:val="22"/>
        </w:rPr>
        <w:t xml:space="preserve">Development of a multiplex PCR for the simultaneous amplification and genotyping of glycoprotein N among human cytomegalovirus strains. </w:t>
      </w:r>
      <w:r>
        <w:rPr>
          <w:i/>
          <w:sz w:val="22"/>
        </w:rPr>
        <w:t>The New Microbiologica.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[pignatelli2010a]</w:t>
      </w:r>
    </w:p>
    <w:p>
      <w:pPr>
        <w:spacing w:after="40"/>
        <w:ind w:left="283"/>
      </w:pPr>
      <w:r>
        <w:rPr>
          <w:sz w:val="22"/>
        </w:rPr>
        <w:t>— Desarrollo de un ensayo multiplex de PCR para amplificación simultánea de varias glucoproteínas: optimiza tiempo y reactivos sin pérdida de especificidad.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la estrategia multiplex empleada en tu protocolo.</w:t>
      </w:r>
    </w:p>
    <w:p>
      <w:pPr>
        <w:keepNext/>
        <w:spacing w:before="200" w:after="40"/>
      </w:pPr>
      <w:r>
        <w:rPr>
          <w:b/>
          <w:sz w:val="22"/>
        </w:rPr>
        <w:t xml:space="preserve">De Vries et al. (2012). </w:t>
      </w:r>
      <w:r>
        <w:rPr>
          <w:sz w:val="22"/>
        </w:rPr>
        <w:t xml:space="preserve">Rapid Genotyping of Cytomegalovirus in Dried Blood Spots by Multiplex Real-Time PCR Assays Targeting the Envelope Glycoprotein gB and gH Genes. </w:t>
      </w:r>
      <w:r>
        <w:rPr>
          <w:i/>
          <w:sz w:val="22"/>
        </w:rPr>
        <w:t>Journal of Clinical Microbiology.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[devries2012]</w:t>
      </w:r>
    </w:p>
    <w:p>
      <w:pPr>
        <w:spacing w:after="40"/>
        <w:ind w:left="283"/>
      </w:pPr>
      <w:r>
        <w:rPr>
          <w:sz w:val="22"/>
        </w:rPr>
        <w:t>— Genotipado rápido de CMV en gotas de sangre seca (DBS) por PCR multiplex a tiempo real con dianas en gB y gH; sensibilidad y especificidad altas en muestras de baja CV.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ESTA ES LA METODOLOGÍA BASE de tu Estudio 1: cite siempre esta referencia al describir la técnica de genotipado.</w:t>
      </w:r>
    </w:p>
    <w:p>
      <w:pPr>
        <w:spacing w:after="40"/>
        <w:ind w:left="283"/>
      </w:pPr>
      <w:r>
        <w:rPr>
          <w:sz w:val="22"/>
        </w:rPr>
        <w:t>— En 39 muestras (26 TPH + 13 TOS): mixtos gB 36% y mixtos gH 33% por episodio.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Tu cohorte: mixtos gB 25,2% y mixtos gH 20,5% por episodio. Sus tasas son algo superiores en TPH; permite discutir que la prevalencia de mixtos depende del tipo de inmunosupresión.</w:t>
      </w:r>
    </w:p>
    <w:p>
      <w:pPr>
        <w:keepNext/>
        <w:spacing w:before="200" w:after="40"/>
      </w:pPr>
      <w:r>
        <w:rPr>
          <w:b/>
          <w:sz w:val="22"/>
        </w:rPr>
        <w:t xml:space="preserve">Barrado et al. (2018). </w:t>
      </w:r>
      <w:r>
        <w:rPr>
          <w:sz w:val="22"/>
        </w:rPr>
        <w:t xml:space="preserve">Detection of glycoproteins B and H genotypes to predict the development of Cytomegalovirus disease in solid organ transplant recipients. </w:t>
      </w:r>
      <w:r>
        <w:rPr>
          <w:i/>
          <w:sz w:val="22"/>
        </w:rPr>
        <w:t>Journal of Clinical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[barrado2018]</w:t>
      </w:r>
    </w:p>
    <w:p>
      <w:pPr>
        <w:spacing w:after="40"/>
        <w:ind w:left="283"/>
      </w:pPr>
      <w:r>
        <w:rPr>
          <w:sz w:val="22"/>
        </w:rPr>
        <w:t>— Cohorte HU12O previa de 62 TOS no pulmonar (33 renal, 19 hepático, 10 cardíaco) con 162 muestras CMV+: distribución por muestra gB1 24,7%, gB2 21,0%, gB3 27,2%, gB4 2,5%, mixtos gB 24,7%; gH mixtos 32,1% (por muestra).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Comparable directo de tu propio centro. Permite contrastar TOS no pulmonar (Barrado) vs RTP (tu cohorte): la distribución gB es ligeramente diferente (en RTP gB3 más frecuente: 36,6% por muestra vs 27,2% en Barrado).</w:t>
      </w:r>
    </w:p>
    <w:p>
      <w:pPr>
        <w:spacing w:after="40"/>
        <w:ind w:left="283"/>
      </w:pPr>
      <w:r>
        <w:rPr>
          <w:sz w:val="22"/>
        </w:rPr>
        <w:t>— Mixtos gB asociados a síndrome viral (70%; p=0,004), aparición precoz de síntomas (48,3 vs 74,3 días; p=0,001) y CV log10 plasmáticas mayores (p=0,004). gB3 más frecuente en viremias asintomáticas (77,3%; p&lt;0,0001). gH1 más frecuente en asintomáticos (65%; p=0,003) y aparición tardía (84,9 vs 57,9 días; p&lt;0,001).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Comparable directo y discrepancia parcial. Tu cohorte de RTP NO replica la asociación entre mixtos y enfermedad sintomática (OR ajustada para mixtos gB+gH 0,88; p=0,772). Permite discutir que el comportamiento clínico de los mixtos en RTP es distinto al de TOS no pulmonar, posiblemente por la profilaxis prolongada y la inmunosupresión más intensa en RTP.</w:t>
      </w:r>
    </w:p>
    <w:p>
      <w:pPr>
        <w:spacing w:after="40"/>
        <w:ind w:left="283"/>
      </w:pPr>
      <w:r>
        <w:rPr>
          <w:sz w:val="22"/>
        </w:rPr>
        <w:t>— OR 2,41 (1,16–4,99; p=0,01) para síndrome viral en pacientes con genotipos gB mixtos vs únicos (Tabla 1 del PDF).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CIFRA VERIFICADA en el PDF. Cuando cites el OR de Barrado, usa 2,41 (no 2,8 ni 2,94). Discrepancia con tu cohorte: tú no encuentras asociación con enfermedad sintomática pero sí con neoplasias y aclaramiento prolongado. Esto puede ser una de las novedades discusivas más relevantes.</w:t>
      </w:r>
    </w:p>
    <w:p>
      <w:pPr>
        <w:spacing w:after="40"/>
        <w:ind w:left="283"/>
      </w:pPr>
      <w:r>
        <w:rPr>
          <w:sz w:val="22"/>
        </w:rPr>
        <w:t>— De los 8 pacientes seronegativos pretrasplante (D+/R-) que recibieron profilaxis, 7 desarrollaron clínica tras completar la profilaxis (4 síndrome viral, 3 enfermedad invasiva) y 1 viremia asintomática; en 2 casos hubo recurrencia con genotipos diferentes en cada episodio.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tu observación de mayor riesgo de DNAemia en D+/R- y al patrón de recurrencias con cambios genotípicos descrito en tu variabilidad interepisodio.</w:t>
      </w:r>
    </w:p>
    <w:p>
      <w:pPr>
        <w:keepNext/>
        <w:spacing w:before="360" w:after="160"/>
      </w:pPr>
      <w:r>
        <w:rPr>
          <w:b/>
          <w:sz w:val="28"/>
        </w:rPr>
        <w:t>6.1.E — Genotipado por RFLP, secuenciación y otras técnicas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1990 </w:t>
      </w:r>
      <w:r>
        <w:rPr>
          <w:b/>
          <w:i/>
          <w:sz w:val="20"/>
        </w:rPr>
        <w:t xml:space="preserve">— Variabilidad de la secuencia ‘a’: </w:t>
      </w:r>
      <w:r>
        <w:rPr>
          <w:sz w:val="20"/>
        </w:rPr>
        <w:t>Zaia et al. — análisis comparativo en aislados clínicos.</w:t>
      </w:r>
    </w:p>
    <w:p>
      <w:pPr>
        <w:spacing w:after="40"/>
        <w:ind w:left="283"/>
      </w:pPr>
      <w:r>
        <w:rPr>
          <w:b/>
          <w:sz w:val="20"/>
        </w:rPr>
        <w:t xml:space="preserve">1994 </w:t>
      </w:r>
      <w:r>
        <w:rPr>
          <w:b/>
          <w:i/>
          <w:sz w:val="20"/>
        </w:rPr>
        <w:t xml:space="preserve">— Distribución de genotipos gB en TPH: </w:t>
      </w:r>
      <w:r>
        <w:rPr>
          <w:sz w:val="20"/>
        </w:rPr>
        <w:t>Fries et al. — primera asociación gB-gH no aleatoria.</w:t>
      </w:r>
    </w:p>
    <w:p>
      <w:pPr>
        <w:spacing w:after="40"/>
        <w:ind w:left="283"/>
      </w:pPr>
      <w:r>
        <w:rPr>
          <w:b/>
          <w:sz w:val="20"/>
        </w:rPr>
        <w:t xml:space="preserve">1996-1998 </w:t>
      </w:r>
      <w:r>
        <w:rPr>
          <w:b/>
          <w:i/>
          <w:sz w:val="20"/>
        </w:rPr>
        <w:t xml:space="preserve">— Distribución gB en TR: </w:t>
      </w:r>
      <w:r>
        <w:rPr>
          <w:sz w:val="20"/>
        </w:rPr>
        <w:t>Vogelberg, Meyer-König.</w:t>
      </w:r>
    </w:p>
    <w:p>
      <w:pPr>
        <w:spacing w:after="40"/>
        <w:ind w:left="283"/>
      </w:pPr>
      <w:r>
        <w:rPr>
          <w:b/>
          <w:sz w:val="20"/>
        </w:rPr>
        <w:t xml:space="preserve">2000 </w:t>
      </w:r>
      <w:r>
        <w:rPr>
          <w:b/>
          <w:i/>
          <w:sz w:val="20"/>
        </w:rPr>
        <w:t xml:space="preserve">— Multi-cepas en TR: </w:t>
      </w:r>
      <w:r>
        <w:rPr>
          <w:sz w:val="20"/>
        </w:rPr>
        <w:t>Aquino et al.</w:t>
      </w:r>
    </w:p>
    <w:p>
      <w:pPr>
        <w:spacing w:after="40"/>
        <w:ind w:left="283"/>
      </w:pPr>
      <w:r>
        <w:rPr>
          <w:b/>
          <w:sz w:val="20"/>
        </w:rPr>
        <w:t xml:space="preserve">2002-2007 </w:t>
      </w:r>
      <w:r>
        <w:rPr>
          <w:b/>
          <w:i/>
          <w:sz w:val="20"/>
        </w:rPr>
        <w:t xml:space="preserve">— PCR-RFLP en TOS: </w:t>
      </w:r>
      <w:r>
        <w:rPr>
          <w:sz w:val="20"/>
        </w:rPr>
        <w:t>Sarcinella, Carraro, Coaquette, Stanton, Sowmya, Zhou.</w:t>
      </w:r>
    </w:p>
    <w:p>
      <w:pPr>
        <w:spacing w:after="40"/>
        <w:ind w:left="283"/>
      </w:pPr>
      <w:r>
        <w:rPr>
          <w:b/>
          <w:sz w:val="20"/>
        </w:rPr>
        <w:t xml:space="preserve">2009 </w:t>
      </w:r>
      <w:r>
        <w:rPr>
          <w:b/>
          <w:i/>
          <w:sz w:val="20"/>
        </w:rPr>
        <w:t xml:space="preserve">— VICTOR — qPCR genotipado: </w:t>
      </w:r>
      <w:r>
        <w:rPr>
          <w:sz w:val="20"/>
        </w:rPr>
        <w:t>Manuel et al. — 49% mixtos por episodio.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Probe-based PCR-ELISA: </w:t>
      </w:r>
      <w:r>
        <w:rPr>
          <w:sz w:val="20"/>
        </w:rPr>
        <w:t>Talkhabifard et al.</w:t>
      </w:r>
    </w:p>
    <w:p>
      <w:pPr>
        <w:keepNext/>
        <w:spacing w:before="200" w:after="40"/>
      </w:pPr>
      <w:r>
        <w:rPr>
          <w:b/>
          <w:sz w:val="22"/>
        </w:rPr>
        <w:t xml:space="preserve">Zaia et al. (1990). </w:t>
      </w:r>
      <w:r>
        <w:rPr>
          <w:sz w:val="22"/>
        </w:rPr>
        <w:t xml:space="preserve">Comparative analysis of human cytomegalovirus a-sequence in multiple clinical isolates by using polymerase chain reaction and restriction fragment length polymorphism assays.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[zaia1990]</w:t>
      </w:r>
    </w:p>
    <w:p>
      <w:pPr>
        <w:spacing w:after="40"/>
        <w:ind w:left="283"/>
      </w:pPr>
      <w:r>
        <w:rPr>
          <w:sz w:val="22"/>
        </w:rPr>
        <w:t>— Análisis comparativo de la secuencia ‘a’ de CMV en múltiples aislados clínicos: demostración temprana de la variabilidad genómica intercepa.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histórica. No aporta para discusión cuantitativa.</w:t>
      </w:r>
    </w:p>
    <w:p>
      <w:pPr>
        <w:keepNext/>
        <w:spacing w:before="200" w:after="40"/>
      </w:pPr>
      <w:r>
        <w:rPr>
          <w:b/>
          <w:sz w:val="22"/>
        </w:rPr>
        <w:t xml:space="preserve">Fries et al. (1994). </w:t>
      </w:r>
      <w:r>
        <w:rPr>
          <w:sz w:val="22"/>
        </w:rPr>
        <w:t xml:space="preserve">Frequency Distribution of Cytomegalovirus Envelope Glycoprotein Genotypes in Bone Marrow Transplant Recipients. </w:t>
      </w:r>
      <w:r>
        <w:rPr>
          <w:i/>
          <w:sz w:val="22"/>
        </w:rPr>
        <w:t>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[fries1994]</w:t>
      </w:r>
    </w:p>
    <w:p>
      <w:pPr>
        <w:spacing w:after="40"/>
        <w:ind w:left="283"/>
      </w:pPr>
      <w:r>
        <w:rPr>
          <w:sz w:val="22"/>
        </w:rPr>
        <w:t>— Distribución de genotipos gB en TPH-BMT: primera demostración formal de que las combinaciones gB-gH no son aleatorias y que se observan asociaciones preferenciales.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Referencia ORIGINAL para tu hallazgo de asociación gB-gH no aleatoria (V Cramér 0,392; p&lt;0,001). Permite afirmar que tu estudio replica el patrón después de 30 años en una cohorte de RTP.</w:t>
      </w:r>
    </w:p>
    <w:p>
      <w:pPr>
        <w:keepNext/>
        <w:spacing w:before="200" w:after="40"/>
      </w:pPr>
      <w:r>
        <w:rPr>
          <w:b/>
          <w:sz w:val="22"/>
        </w:rPr>
        <w:t xml:space="preserve">Vogelberg et al. (1996). </w:t>
      </w:r>
      <w:r>
        <w:rPr>
          <w:sz w:val="22"/>
        </w:rPr>
        <w:t xml:space="preserve">Human cytomegalovirus glycoprotein B genotypes in renal transplant recipients.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[vogelberg1996]</w:t>
      </w:r>
    </w:p>
    <w:p>
      <w:pPr>
        <w:spacing w:after="40"/>
        <w:ind w:left="283"/>
      </w:pPr>
      <w:r>
        <w:rPr>
          <w:sz w:val="22"/>
        </w:rPr>
        <w:t>— Distribución de genotipos gB en receptores de trasplante renal: variabilidad entre genotipos y heterogeneidad geográfica.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histórica para tablas de comparación de distribución.</w:t>
      </w:r>
    </w:p>
    <w:p>
      <w:pPr>
        <w:keepNext/>
        <w:spacing w:before="200" w:after="40"/>
      </w:pPr>
      <w:r>
        <w:rPr>
          <w:b/>
          <w:sz w:val="22"/>
        </w:rPr>
        <w:t xml:space="preserve">Meyer-König et al. (1998). </w:t>
      </w:r>
      <w:r>
        <w:rPr>
          <w:sz w:val="22"/>
        </w:rPr>
        <w:t xml:space="preserve">Glycoprotein B genotype correlates with cell tropism in vivo of human cytomegalovirus infection.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[meyer-konig1998]</w:t>
      </w:r>
    </w:p>
    <w:p>
      <w:pPr>
        <w:spacing w:after="40"/>
        <w:ind w:left="283"/>
      </w:pPr>
      <w:r>
        <w:rPr>
          <w:sz w:val="22"/>
        </w:rPr>
        <w:t>— Genotipo gB correlaciona con tropismo celular in vivo de cepas CMV en pacientes infectados.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discutir que los distintos genotipos pueden tener tropismos preferenciales y, por extensión, comportamientos cinéticos diferenciados (tu hallazgo de gB3 con AUC mayor).</w:t>
      </w:r>
    </w:p>
    <w:p>
      <w:pPr>
        <w:keepNext/>
        <w:spacing w:before="200" w:after="40"/>
      </w:pPr>
      <w:r>
        <w:rPr>
          <w:b/>
          <w:sz w:val="22"/>
        </w:rPr>
        <w:t xml:space="preserve">Meyer‐König et al. (1998). </w:t>
      </w:r>
      <w:r>
        <w:rPr>
          <w:sz w:val="22"/>
        </w:rPr>
        <w:t xml:space="preserve">Intragenic Variability of Human Cytomegalovirus Glycoprotein B in Clinical Strains.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[meyer-konig1998a]</w:t>
      </w:r>
    </w:p>
    <w:p>
      <w:pPr>
        <w:spacing w:after="40"/>
        <w:ind w:left="283"/>
      </w:pPr>
      <w:r>
        <w:rPr>
          <w:sz w:val="22"/>
        </w:rPr>
        <w:t>— Variabilidad intragénica de gB en cepas clínicas: la diversidad observada va más allá de los 4 genotipos clásicos.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Sustento para los análisis de variantes minoritarias y patrones intra-paciente que observas en variabilidad intraepisodio.</w:t>
      </w:r>
    </w:p>
    <w:p>
      <w:pPr>
        <w:keepNext/>
        <w:spacing w:before="200" w:after="40"/>
      </w:pPr>
      <w:r>
        <w:rPr>
          <w:b/>
          <w:sz w:val="22"/>
        </w:rPr>
        <w:t xml:space="preserve">Aquino y Figueiredo (2000). </w:t>
      </w:r>
      <w:r>
        <w:rPr>
          <w:sz w:val="22"/>
        </w:rPr>
        <w:t xml:space="preserve">High prevalence of renal transplant recipients infected with more than one cytomegalovirus glycoprotein B genotype.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[aquino2000]</w:t>
      </w:r>
    </w:p>
    <w:p>
      <w:pPr>
        <w:spacing w:after="40"/>
        <w:ind w:left="283"/>
      </w:pPr>
      <w:r>
        <w:rPr>
          <w:sz w:val="22"/>
        </w:rPr>
        <w:t>— Alta prevalencia (~30%) de RTR infectados con más de un genotipo de CMV en una cohorte específica, evaluada por PCR-RFLP.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parcial para tu prevalencia de mixtos en RTP (25,2% por episodio gB; 31,6% gB+gH).</w:t>
      </w:r>
    </w:p>
    <w:p>
      <w:pPr>
        <w:keepNext/>
        <w:spacing w:before="200" w:after="40"/>
      </w:pPr>
      <w:r>
        <w:rPr>
          <w:b/>
          <w:sz w:val="22"/>
        </w:rPr>
        <w:t xml:space="preserve">Aquino y Figueiredo (2000). </w:t>
      </w:r>
      <w:r>
        <w:rPr>
          <w:sz w:val="22"/>
        </w:rPr>
        <w:t xml:space="preserve">High prevalence of renal transplant recipients infected with more than one cytomegalovirus glycoprotein B genotype.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[aquino2000a]</w:t>
      </w:r>
    </w:p>
    <w:p>
      <w:pPr>
        <w:spacing w:after="40"/>
        <w:ind w:left="283"/>
      </w:pPr>
      <w:r>
        <w:rPr>
          <w:sz w:val="22"/>
        </w:rPr>
        <w:t>— Versión hermana o ampliación con la misma observación principal sobre coinfecciones genotípicas múltiples en RTR.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Mismo uso.</w:t>
      </w:r>
    </w:p>
    <w:p>
      <w:pPr>
        <w:keepNext/>
        <w:spacing w:before="200" w:after="40"/>
      </w:pPr>
      <w:r>
        <w:rPr>
          <w:b/>
          <w:sz w:val="22"/>
        </w:rPr>
        <w:t xml:space="preserve">Sarcinella et al. (2002). </w:t>
      </w:r>
      <w:r>
        <w:rPr>
          <w:sz w:val="22"/>
        </w:rPr>
        <w:t xml:space="preserve">Cytomegalovirus glycoprotein B genotype does not correlate with outcomes in liver transplant patients. </w:t>
      </w:r>
      <w:r>
        <w:rPr>
          <w:i/>
          <w:sz w:val="22"/>
        </w:rPr>
        <w:t>Journal of Clinical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[sarcinella2002]</w:t>
      </w:r>
    </w:p>
    <w:p>
      <w:pPr>
        <w:spacing w:after="40"/>
        <w:ind w:left="283"/>
      </w:pPr>
      <w:r>
        <w:rPr>
          <w:sz w:val="22"/>
        </w:rPr>
        <w:t>— PCR-RFLP en 58 trasplantados hepáticos con CMV+: distribución gB1 25,9%, gB2 27,6%, gB3 36,2%, gB4 3,4%, mixtos 6,9%.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Tu cohorte: prevalencia mixtos por muestra 21,3% (mucho más alta), reflejo de la mayor sensibilidad del genotipado por qPCR vs RFLP. Apoyo para discutir que las técnicas con mayor sensibilidad detectan más mixtos.</w:t>
      </w:r>
    </w:p>
    <w:p>
      <w:pPr>
        <w:spacing w:after="40"/>
        <w:ind w:left="283"/>
      </w:pPr>
      <w:r>
        <w:rPr>
          <w:sz w:val="22"/>
        </w:rPr>
        <w:t>— No correlación entre genotipo gB y desenlaces clínicos (CV, enfermedad, rechazo) en TH.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Concordante con tu hallazgo de que la enfermedad sintomática NO se asocia con mixtos en RTP.</w:t>
      </w:r>
    </w:p>
    <w:p>
      <w:pPr>
        <w:keepNext/>
        <w:spacing w:before="200" w:after="40"/>
      </w:pPr>
      <w:r>
        <w:rPr>
          <w:b/>
          <w:sz w:val="22"/>
        </w:rPr>
        <w:t xml:space="preserve">Carraro y Granato (2003). </w:t>
      </w:r>
      <w:r>
        <w:rPr>
          <w:sz w:val="22"/>
        </w:rPr>
        <w:t xml:space="preserve">Single human cytomegalovirus gB genotype shed in multiple sites at the time of diagnosis in renal transplant recipients.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[carraro2003]</w:t>
      </w:r>
    </w:p>
    <w:p>
      <w:pPr>
        <w:spacing w:after="40"/>
        <w:ind w:left="283"/>
      </w:pPr>
      <w:r>
        <w:rPr>
          <w:sz w:val="22"/>
        </w:rPr>
        <w:t>— Un único genotipo gB se aísla en múltiples sitios anatómicos al diagnóstico en RTR, sugiriendo distribución sistémica de la cepa dominante.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tu observación de patrón dominante estable en intra/interepisodio. Permite discutir que cuando hay un genotipo dominante, este se mantiene en distintos sitios anatómicos.</w:t>
      </w:r>
    </w:p>
    <w:p>
      <w:pPr>
        <w:keepNext/>
        <w:spacing w:before="200" w:after="40"/>
      </w:pPr>
      <w:r>
        <w:rPr>
          <w:b/>
          <w:sz w:val="22"/>
        </w:rPr>
        <w:t xml:space="preserve">Humar et al. (2003). </w:t>
      </w:r>
      <w:r>
        <w:rPr>
          <w:sz w:val="22"/>
        </w:rPr>
        <w:t xml:space="preserve">Cytomegalovirus (CMV) Glycoprotein B Genotypes and Response to Antiviral Therapy, in Solid‐Organ–Transplant Recipients with CMV Disease. </w:t>
      </w:r>
      <w:r>
        <w:rPr>
          <w:i/>
          <w:sz w:val="22"/>
        </w:rPr>
        <w:t>The Journal of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[humar2003]</w:t>
      </w:r>
    </w:p>
    <w:p>
      <w:pPr>
        <w:spacing w:after="40"/>
        <w:ind w:left="283"/>
      </w:pPr>
      <w:r>
        <w:rPr>
          <w:sz w:val="22"/>
        </w:rPr>
        <w:t>— PCR-RFLP en 50 TOS (incluye 7 RTP) con enfermedad CMV: distribución gB1 38%, gB2 18%, gB3 24%, gB4 4%, mixtos 16%.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Tu cohorte por episodio: gB1 39,4%, gB3 30,9%, gB2 18,9%, gB4 10,9%, mixtos 25,2%. Distribuciones similares.</w:t>
      </w:r>
    </w:p>
    <w:p>
      <w:pPr>
        <w:spacing w:after="40"/>
        <w:ind w:left="283"/>
      </w:pPr>
      <w:r>
        <w:rPr>
          <w:sz w:val="22"/>
        </w:rPr>
        <w:t>— Genotipo gB no se asoció con cinética viral (tiempo a aclaramiento, fracaso de aclaramiento, vida media de la CV) ni con recurrencia ni con enfermedad invasiva.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DISCREPANCIA INTERESANTE con tu hallazgo de gB3 con aclaramiento más prolongado (40 vs 25 días). Posibles explicaciones: tamaño muestral pequeño en Humar 2003 (n=50), tipo de TOS distinto, sensibilidad técnica diferente. Permite discutir que hallazgos previos negativos pueden deberse a falta de potencia.</w:t>
      </w:r>
    </w:p>
    <w:p>
      <w:pPr>
        <w:keepNext/>
        <w:spacing w:before="200" w:after="40"/>
      </w:pPr>
      <w:r>
        <w:rPr>
          <w:b/>
          <w:sz w:val="22"/>
        </w:rPr>
        <w:t xml:space="preserve">Coaquette et al. (2004). </w:t>
      </w:r>
      <w:r>
        <w:rPr>
          <w:sz w:val="22"/>
        </w:rPr>
        <w:t xml:space="preserve">Mixed Cytomegalovirus Glycoprotein B Genotypes in Immunocompromised Patients.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[coaquette2004]</w:t>
      </w:r>
    </w:p>
    <w:p>
      <w:pPr>
        <w:spacing w:after="40"/>
        <w:ind w:left="283"/>
      </w:pPr>
      <w:r>
        <w:rPr>
          <w:sz w:val="22"/>
        </w:rPr>
        <w:t>— PCR-RFLP en 92 pacientes inmunocomprometidos: 25,8% mixtos por muestra; pacientes con mixtos presentaron mayor CV y más duración de viremia.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Tu cohorte: mixtos gB 21,3% por muestra y CV mayor en mixtos (3.667 vs 2.924 UI/mL) — coherente con Coaquette.</w:t>
      </w:r>
    </w:p>
    <w:p>
      <w:pPr>
        <w:keepNext/>
        <w:spacing w:before="200" w:after="40"/>
      </w:pPr>
      <w:r>
        <w:rPr>
          <w:b/>
          <w:sz w:val="22"/>
        </w:rPr>
        <w:t xml:space="preserve">Stanton et al. (2005). </w:t>
      </w:r>
      <w:r>
        <w:rPr>
          <w:sz w:val="22"/>
        </w:rPr>
        <w:t xml:space="preserve">Stability of human cytomegalovirus genotypes in persistently infected renal transplant recipients.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[stanton2005]</w:t>
      </w:r>
    </w:p>
    <w:p>
      <w:pPr>
        <w:spacing w:after="40"/>
        <w:ind w:left="283"/>
      </w:pPr>
      <w:r>
        <w:rPr>
          <w:sz w:val="22"/>
        </w:rPr>
        <w:t>— Estabilidad de los genotipos de CMV en pacientes con infección persistente postrasplante renal: el patrón dominante se mantiene en el seguimiento.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directo a tu observación de patrón dominante estable y cambios completos excepcionales (2,9% intraepisodio).</w:t>
      </w:r>
    </w:p>
    <w:p>
      <w:pPr>
        <w:keepNext/>
        <w:spacing w:before="200" w:after="40"/>
      </w:pPr>
      <w:r>
        <w:rPr>
          <w:b/>
          <w:sz w:val="22"/>
        </w:rPr>
        <w:t xml:space="preserve">Sowmya et al. (2006). </w:t>
      </w:r>
      <w:r>
        <w:rPr>
          <w:sz w:val="22"/>
        </w:rPr>
        <w:t xml:space="preserve">Failure to genotype Human Cytomegalovirus by PCR-RFLP method due to sequence variation within the primer binding site. </w:t>
      </w:r>
      <w:r>
        <w:rPr>
          <w:i/>
          <w:sz w:val="22"/>
        </w:rPr>
        <w:t>Journal of Virological Methods.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[sowmya2006]</w:t>
      </w:r>
    </w:p>
    <w:p>
      <w:pPr>
        <w:spacing w:after="40"/>
        <w:ind w:left="283"/>
      </w:pPr>
      <w:r>
        <w:rPr>
          <w:sz w:val="22"/>
        </w:rPr>
        <w:t>— Falla de genotipado por PCR-RFLP debido a variabilidad de secuencia en regiones de digestión: 7-15% de muestras no genotipables por mutaciones puntuales que abolen sitios de restricción.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Antecedente técnico para discutir que las técnicas más antiguas tenían tasas de fallo no despreciables, lo que justifica la transición a qPCR multiplex con sondas específicas.</w:t>
      </w:r>
    </w:p>
    <w:p>
      <w:pPr>
        <w:keepNext/>
        <w:spacing w:before="200" w:after="40"/>
      </w:pPr>
      <w:r>
        <w:rPr>
          <w:b/>
          <w:sz w:val="22"/>
        </w:rPr>
        <w:t xml:space="preserve">Sowmya et al. (2007). </w:t>
      </w:r>
      <w:r>
        <w:rPr>
          <w:sz w:val="22"/>
        </w:rPr>
        <w:t xml:space="preserve">Comparative efficacy of PCR-based restriction fragment length polymorphism (RFLP) &amp; multiplex PCR for glycoprotein B (gB) genotyping of human cytomegalovirus. </w:t>
      </w:r>
      <w:r>
        <w:rPr>
          <w:i/>
          <w:sz w:val="22"/>
        </w:rPr>
        <w:t>The Indian Journal of Medical Research.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[sowmya2007]</w:t>
      </w:r>
    </w:p>
    <w:p>
      <w:pPr>
        <w:spacing w:after="40"/>
        <w:ind w:left="283"/>
      </w:pPr>
      <w:r>
        <w:rPr>
          <w:sz w:val="22"/>
        </w:rPr>
        <w:t>— Comparación de PCR-RFLP con multiplex nested-PCR para genotipado de CMV: la nested-PCR es más sensible pero menos específica para detectar genotipos minoritarios.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para discutir el equilibrio sensibilidad-especificidad del método qPCR usado en tu Estudio 1.</w:t>
      </w:r>
    </w:p>
    <w:p>
      <w:pPr>
        <w:keepNext/>
        <w:spacing w:before="200" w:after="40"/>
      </w:pPr>
      <w:r>
        <w:rPr>
          <w:b/>
          <w:sz w:val="22"/>
        </w:rPr>
        <w:t xml:space="preserve">Zhou et al. (2007). </w:t>
      </w:r>
      <w:r>
        <w:rPr>
          <w:sz w:val="22"/>
        </w:rPr>
        <w:t xml:space="preserve">Genetic variation within the glycoprotein B and H genes of human cytomegalovirus in solid organ transplant recipients. </w:t>
      </w:r>
      <w:r>
        <w:rPr>
          <w:i/>
          <w:sz w:val="22"/>
        </w:rPr>
        <w:t>Transplant Infectious Disease.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[zhou2007]</w:t>
      </w:r>
    </w:p>
    <w:p>
      <w:pPr>
        <w:spacing w:after="40"/>
        <w:ind w:left="283"/>
      </w:pPr>
      <w:r>
        <w:rPr>
          <w:sz w:val="22"/>
        </w:rPr>
        <w:t>— Nested-PCR en 79 TOS (26 CMV+): 23% mixtos gB y 23% mixtos gH (corregido respecto a citas previas que indicaban 38%).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Tu cohorte: mixtos gB 21,3% y mixtos gH 15,3% por muestra. Concordante con Zhou en gB; tu cohorte tiene menor proporción de mixtos gH. CIFRA VERIFICADA: 23%/23% (no 38%).</w:t>
      </w:r>
    </w:p>
    <w:p>
      <w:pPr>
        <w:keepNext/>
        <w:spacing w:before="200" w:after="40"/>
      </w:pPr>
      <w:r>
        <w:rPr>
          <w:b/>
          <w:sz w:val="22"/>
        </w:rPr>
        <w:t xml:space="preserve">Manuel et al. (2009). </w:t>
      </w:r>
      <w:r>
        <w:rPr>
          <w:sz w:val="22"/>
        </w:rPr>
        <w:t xml:space="preserve">An Assessment of Donor‐to‐Recipient Transmission Patterns of Human Cytomegalovirus by Analysis of Viral Genomic Variants. </w:t>
      </w:r>
      <w:r>
        <w:rPr>
          <w:i/>
          <w:sz w:val="22"/>
        </w:rPr>
        <w:t>The Journal of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[manuel2009a]</w:t>
      </w:r>
    </w:p>
    <w:p>
      <w:pPr>
        <w:spacing w:after="40"/>
        <w:ind w:left="283"/>
      </w:pPr>
      <w:r>
        <w:rPr>
          <w:sz w:val="22"/>
        </w:rPr>
        <w:t>— Análisis de patrones de transmisión donante-receptor mediante variantes genómicas de HCMV en una serie del Alberta Provincial Lab. Demuestra que en muchos D+/R-, la cepa detectada postrasplante es genéticamente compatible con la del donante.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tus pacientes AR1, AR2 y AR3 (D+/R-): la concordancia entre genotipos detectados postrasplante y serología pretrasplante del donante es compatible con transmisión donante.</w:t>
      </w:r>
    </w:p>
    <w:p>
      <w:pPr>
        <w:keepNext/>
        <w:spacing w:before="200" w:after="40"/>
      </w:pPr>
      <w:r>
        <w:rPr>
          <w:b/>
          <w:sz w:val="22"/>
        </w:rPr>
        <w:t xml:space="preserve">Manuel et al. (2009). </w:t>
      </w:r>
      <w:r>
        <w:rPr>
          <w:sz w:val="22"/>
        </w:rPr>
        <w:t xml:space="preserve">Impact of Genetic Polymorphisms in Cytomegalovirus Glycoprotein B on Outcomes in Solid‐Organ Transplant Recipients with Cytomegalovirus Disease. </w:t>
      </w:r>
      <w:r>
        <w:rPr>
          <w:i/>
          <w:sz w:val="22"/>
        </w:rPr>
        <w:t>Clinical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[manuel2009c]</w:t>
      </w:r>
    </w:p>
    <w:p>
      <w:pPr>
        <w:spacing w:after="40"/>
        <w:ind w:left="283"/>
      </w:pPr>
      <w:r>
        <w:rPr>
          <w:sz w:val="22"/>
        </w:rPr>
        <w:t>— Estudio VICTOR — Manuel et al. CID 2009: 239 TOS con enfermedad CMV; distribución gB1 26%, gB2 10%, gB3 10%, gB4 5%; mixtos en 49%.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Tasa de mixtos altísima (49% por episodio) en pacientes con enfermedad CMV (cohorte sintomática), frente a tu 25,2% por episodio gB. Permite discutir que el % de mixtos varía sustancialmente según selección de pacientes (sintomáticos vs cohorte completa de DNAemia).</w:t>
      </w:r>
    </w:p>
    <w:p>
      <w:pPr>
        <w:spacing w:after="40"/>
        <w:ind w:left="283"/>
      </w:pPr>
      <w:r>
        <w:rPr>
          <w:sz w:val="22"/>
        </w:rPr>
        <w:t>— D+/R+ presentaron más mixtos que D+/R- (40% vs 12%; p&lt;0,001).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DISCREPANCIA con tu cohorte: tú observas D+/R- con la mayor proporción de mixtos (29,7% gB; 37,8% gB+gH), aunque sin significación. Permite discutir las posibles razones (selección, número de muestras genotipadas).</w:t>
      </w:r>
    </w:p>
    <w:p>
      <w:pPr>
        <w:spacing w:after="40"/>
        <w:ind w:left="283"/>
      </w:pPr>
      <w:r>
        <w:rPr>
          <w:sz w:val="22"/>
        </w:rPr>
        <w:t>— Mixtos asociados con CV basal mayor (p=0,005), tiempo a erradicación más largo (p=0,026) y, en multivariante, OR 2,66 (1,31–5,38; p=0,007) para fallo de erradicación a los 21 días.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hallazgo de aclaramiento prolongado en mixtos gB+gH (37 vs 26 días; p&lt;0,001) y al modelo multivariante (+22 días; p=0,009).</w:t>
      </w:r>
    </w:p>
    <w:p>
      <w:pPr>
        <w:keepNext/>
        <w:spacing w:before="200" w:after="40"/>
      </w:pPr>
      <w:r>
        <w:rPr>
          <w:b/>
          <w:sz w:val="22"/>
        </w:rPr>
        <w:t xml:space="preserve">Talkhabifard et al. (2017). </w:t>
      </w:r>
      <w:r>
        <w:rPr>
          <w:sz w:val="22"/>
        </w:rPr>
        <w:t xml:space="preserve">Evaluation of a Probe-Based PCR-ELISA System for Simultaneous Semi Quantitative Detection and Genotyping of Human Cytomegalovirus (HCMV) Infection in Clinical Specimens. </w:t>
      </w:r>
      <w:r>
        <w:rPr>
          <w:i/>
          <w:sz w:val="22"/>
        </w:rPr>
        <w:t>The Open Microbiology Journal.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[talkhabifard2017]</w:t>
      </w:r>
    </w:p>
    <w:p>
      <w:pPr>
        <w:spacing w:after="40"/>
        <w:ind w:left="283"/>
      </w:pPr>
      <w:r>
        <w:rPr>
          <w:sz w:val="22"/>
        </w:rPr>
        <w:t>— Sistema PCR-ELISA basado en sondas para detección semi-cuantitativa simultánea de genotipos.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metodológica adicional con limitada relevancia para tu discusión.</w:t>
      </w:r>
    </w:p>
    <w:p>
      <w:pPr>
        <w:keepNext/>
        <w:spacing w:before="360" w:after="160"/>
      </w:pPr>
      <w:r>
        <w:rPr>
          <w:b/>
          <w:sz w:val="28"/>
        </w:rPr>
        <w:t>6.1.F — Secuenciación masiva, NGS y secuenciación directa de muestras clínicas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2010 </w:t>
      </w:r>
      <w:r>
        <w:rPr>
          <w:b/>
          <w:i/>
          <w:sz w:val="20"/>
        </w:rPr>
        <w:t xml:space="preserve">— Deep sequencing en RTP: </w:t>
      </w:r>
      <w:r>
        <w:rPr>
          <w:sz w:val="20"/>
        </w:rPr>
        <w:t>Görzer et al. — dinámica compleja con hasta 6 genotipos por muestra.</w:t>
      </w:r>
    </w:p>
    <w:p>
      <w:pPr>
        <w:spacing w:after="40"/>
        <w:ind w:left="283"/>
      </w:pPr>
      <w:r>
        <w:rPr>
          <w:b/>
          <w:sz w:val="20"/>
        </w:rPr>
        <w:t xml:space="preserve">2015 </w:t>
      </w:r>
      <w:r>
        <w:rPr>
          <w:b/>
          <w:i/>
          <w:sz w:val="20"/>
        </w:rPr>
        <w:t xml:space="preserve">— WGS de HCMV: </w:t>
      </w:r>
      <w:r>
        <w:rPr>
          <w:sz w:val="20"/>
        </w:rPr>
        <w:t>Sijmons et al. demuestran diversidad genómica amplia.</w:t>
      </w:r>
    </w:p>
    <w:p>
      <w:pPr>
        <w:spacing w:after="40"/>
        <w:ind w:left="283"/>
      </w:pPr>
      <w:r>
        <w:rPr>
          <w:b/>
          <w:sz w:val="20"/>
        </w:rPr>
        <w:t xml:space="preserve">2015 </w:t>
      </w:r>
      <w:r>
        <w:rPr>
          <w:b/>
          <w:i/>
          <w:sz w:val="20"/>
        </w:rPr>
        <w:t xml:space="preserve">— Cepas en orina de neonatos: </w:t>
      </w:r>
      <w:r>
        <w:rPr>
          <w:sz w:val="20"/>
        </w:rPr>
        <w:t>Görzer et al. ultradeep en muestras clínicas.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WGS desde muestra clínica: </w:t>
      </w:r>
      <w:r>
        <w:rPr>
          <w:sz w:val="20"/>
        </w:rPr>
        <w:t>Hage et al. caracterizan diversidad sin cultivo.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Secuenciación directa: </w:t>
      </w:r>
      <w:r>
        <w:rPr>
          <w:sz w:val="20"/>
        </w:rPr>
        <w:t>Suárez et al.; Marti-Carreras et al. — NGS para HCMV.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Whole-genome dynamics: </w:t>
      </w:r>
      <w:r>
        <w:rPr>
          <w:sz w:val="20"/>
        </w:rPr>
        <w:t>Suárez et al. caracterizan dinámicas en transplante.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Reconstrucción de haplotipos: </w:t>
      </w:r>
      <w:r>
        <w:rPr>
          <w:sz w:val="20"/>
        </w:rPr>
        <w:t>Cudini et al. revelan superinfección por reconstrucción de haplotipos.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Long-range PCR + NGS: </w:t>
      </w:r>
      <w:r>
        <w:rPr>
          <w:sz w:val="20"/>
        </w:rPr>
        <w:t>Brait et al. — haplotipos en mixtos.</w:t>
      </w:r>
    </w:p>
    <w:p>
      <w:pPr>
        <w:spacing w:after="40"/>
        <w:ind w:left="283"/>
      </w:pPr>
      <w:r>
        <w:rPr>
          <w:b/>
          <w:sz w:val="20"/>
        </w:rPr>
        <w:t xml:space="preserve">2023 </w:t>
      </w:r>
      <w:r>
        <w:rPr>
          <w:b/>
          <w:i/>
          <w:sz w:val="20"/>
        </w:rPr>
        <w:t xml:space="preserve">— Tecnología NGS — diversidad genética: </w:t>
      </w:r>
      <w:r>
        <w:rPr>
          <w:sz w:val="20"/>
        </w:rPr>
        <w:t>Vankova et al.</w:t>
      </w:r>
    </w:p>
    <w:p>
      <w:pPr>
        <w:keepNext/>
        <w:spacing w:before="200" w:after="40"/>
      </w:pPr>
      <w:r>
        <w:rPr>
          <w:b/>
          <w:sz w:val="22"/>
        </w:rPr>
        <w:t xml:space="preserve">Görzer et al. (2010). </w:t>
      </w:r>
      <w:r>
        <w:rPr>
          <w:sz w:val="22"/>
        </w:rPr>
        <w:t xml:space="preserve">Human cytomegalovirus (HCMV) genotype populations in immunocompetent individuals during primary HCMV infection.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[gorzer2010a]</w:t>
      </w:r>
    </w:p>
    <w:p>
      <w:pPr>
        <w:spacing w:after="40"/>
        <w:ind w:left="283"/>
      </w:pPr>
      <w:r>
        <w:rPr>
          <w:sz w:val="22"/>
        </w:rPr>
        <w:t>— Caracterización de poblaciones de genotipos HCMV en individuos inmunocompetentes durante primoinfección: detección de mixtos a niveles bajos sugiere coinfecciones múltiples desde la primoinfección.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conceptual: los receptores R+ en tu cohorte podrían ya albergar diversidad latente desde la primoinfección comunitaria.</w:t>
      </w:r>
    </w:p>
    <w:p>
      <w:pPr>
        <w:keepNext/>
        <w:spacing w:before="200" w:after="40"/>
      </w:pPr>
      <w:r>
        <w:rPr>
          <w:b/>
          <w:sz w:val="22"/>
        </w:rPr>
        <w:t xml:space="preserve">Görzer et al. (2010). </w:t>
      </w:r>
      <w:r>
        <w:rPr>
          <w:sz w:val="22"/>
        </w:rPr>
        <w:t xml:space="preserve">Deep Sequencing Reveals Highly Complex Dynamics of Human Cytomegalovirus Genotypes in Transplant Patients over Time. </w:t>
      </w:r>
      <w:r>
        <w:rPr>
          <w:i/>
          <w:sz w:val="22"/>
        </w:rPr>
        <w:t>Journal of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[gorzer2010d]</w:t>
      </w:r>
    </w:p>
    <w:p>
      <w:pPr>
        <w:spacing w:after="40"/>
        <w:ind w:left="283"/>
      </w:pPr>
      <w:r>
        <w:rPr>
          <w:sz w:val="22"/>
        </w:rPr>
        <w:t>— Pirosecuenciación ultra-deep de gN en RTP: hasta 6 genotipos por muestra; sensibilidad de detección 0,1-1%; ~10.430 lecturas por muestra; mixtos detectados en 80-90% de RTP analizados.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Datos verificados de PDF. Permite discutir que tu prevalencia de mixtos detectados (31,6% gB+gH por episodio) es probablemente una subestimación dado que la PCR a tiempo real tiene menos sensibilidad que NGS para variantes minoritarias. Sustenta tu interpretación de que los genotipos fluctuantes con Ct más altos (CV genotipo-específica menor) pueden ser variantes minoritarias en el límite de detección.</w:t>
      </w:r>
    </w:p>
    <w:p>
      <w:pPr>
        <w:keepNext/>
        <w:spacing w:before="200" w:after="40"/>
      </w:pPr>
      <w:r>
        <w:rPr>
          <w:b/>
          <w:sz w:val="22"/>
        </w:rPr>
        <w:t xml:space="preserve">Görzer et al. (2015). </w:t>
      </w:r>
      <w:r>
        <w:rPr>
          <w:sz w:val="22"/>
        </w:rPr>
        <w:t xml:space="preserve">Analysis of human cytomegalovirus strain populations in urine samples of newborns by ultra deep sequencing. </w:t>
      </w:r>
      <w:r>
        <w:rPr>
          <w:i/>
          <w:sz w:val="22"/>
        </w:rPr>
        <w:t>Journal of Clinical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[gorzer2015a]</w:t>
      </w:r>
    </w:p>
    <w:p>
      <w:pPr>
        <w:spacing w:after="40"/>
        <w:ind w:left="283"/>
      </w:pPr>
      <w:r>
        <w:rPr>
          <w:sz w:val="22"/>
        </w:rPr>
        <w:t>— Análisis ultra-deep de poblaciones de cepas HCMV en orina de neonatos infectados: diversidad intra-huésped frecuente desde el nacimiento.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noción de diversidad temprana, que se mantiene en el reservorio del adulto donante.</w:t>
      </w:r>
    </w:p>
    <w:p>
      <w:pPr>
        <w:keepNext/>
        <w:spacing w:before="200" w:after="40"/>
      </w:pPr>
      <w:r>
        <w:rPr>
          <w:b/>
          <w:sz w:val="22"/>
        </w:rPr>
        <w:t xml:space="preserve">Hage et al. (2017). </w:t>
      </w:r>
      <w:r>
        <w:rPr>
          <w:sz w:val="22"/>
        </w:rPr>
        <w:t xml:space="preserve">Characterization of Human Cytomegalovirus Genome Diversity in Immunocompromised Hosts by Whole-Genome Sequencing Directly From Clinical Specimens. </w:t>
      </w:r>
      <w:r>
        <w:rPr>
          <w:i/>
          <w:sz w:val="22"/>
        </w:rPr>
        <w:t>The Journal of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[hage2017]</w:t>
      </w:r>
    </w:p>
    <w:p>
      <w:pPr>
        <w:spacing w:after="40"/>
        <w:ind w:left="283"/>
      </w:pPr>
      <w:r>
        <w:rPr>
          <w:sz w:val="22"/>
        </w:rPr>
        <w:t>— WGS directo desde muestras clínicas en huéspedes inmunocomprometidos: caracteriza diversidad genómica completa de HCMV sin necesidad de cultivo, demostrando coinfecciones por linajes distintos.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la NGS en muestra clínica que validaría futuros refinamientos del Estudio 2.</w:t>
      </w:r>
    </w:p>
    <w:p>
      <w:pPr>
        <w:keepNext/>
        <w:spacing w:before="200" w:after="40"/>
      </w:pPr>
      <w:r>
        <w:rPr>
          <w:b/>
          <w:sz w:val="22"/>
        </w:rPr>
        <w:t xml:space="preserve">Sijmons et al. (2015). </w:t>
      </w:r>
      <w:r>
        <w:rPr>
          <w:sz w:val="22"/>
        </w:rPr>
        <w:t xml:space="preserve">High-Throughput Analysis of Human Cytomegalovirus Genome Diversity Highlights the Widespread Occurrence of Gene-Disrupting Mutations and Pervasive Recombination. </w:t>
      </w:r>
      <w:r>
        <w:rPr>
          <w:i/>
          <w:sz w:val="22"/>
        </w:rPr>
        <w:t>Journal of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[sijmons2015]</w:t>
      </w:r>
    </w:p>
    <w:p>
      <w:pPr>
        <w:spacing w:after="40"/>
        <w:ind w:left="283"/>
      </w:pPr>
      <w:r>
        <w:rPr>
          <w:sz w:val="22"/>
        </w:rPr>
        <w:t>— Análisis de alto rendimiento de la diversidad del genoma HCMV: los polimorfismos identificados se distribuyen ampliamente y no se concentran solo en glucoproteínas.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para discutir que el genotipado limitado a gB/gH es una visión parcial pero rentable y operativa.</w:t>
      </w:r>
    </w:p>
    <w:p>
      <w:pPr>
        <w:keepNext/>
        <w:spacing w:before="200" w:after="40"/>
      </w:pPr>
      <w:r>
        <w:rPr>
          <w:b/>
          <w:sz w:val="22"/>
        </w:rPr>
        <w:t xml:space="preserve">Martí-Carreras y Maes (2019). </w:t>
      </w:r>
      <w:r>
        <w:rPr>
          <w:sz w:val="22"/>
        </w:rPr>
        <w:t xml:space="preserve">Human cytomegalovirus genomics and transcriptomics through the lens of next-generation sequencing: revision and future challenges. </w:t>
      </w:r>
      <w:r>
        <w:rPr>
          <w:i/>
          <w:sz w:val="22"/>
        </w:rPr>
        <w:t>Virus Genes.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[marti-carreras2019]</w:t>
      </w:r>
    </w:p>
    <w:p>
      <w:pPr>
        <w:spacing w:after="40"/>
        <w:ind w:left="283"/>
      </w:pPr>
      <w:r>
        <w:rPr>
          <w:sz w:val="22"/>
        </w:rPr>
        <w:t>— Revisión de la genómica y transcriptómica de HCMV con NGS: pasos metodológicos, limitaciones y aplicaciones clínicas.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metodológica para encuadrar la NGS en el contexto del laboratorio de microbiología clínica.</w:t>
      </w:r>
    </w:p>
    <w:p>
      <w:pPr>
        <w:keepNext/>
        <w:spacing w:before="200" w:after="40"/>
      </w:pPr>
      <w:r>
        <w:rPr>
          <w:b/>
          <w:sz w:val="22"/>
        </w:rPr>
        <w:t xml:space="preserve">Suárez et al. (2019). </w:t>
      </w:r>
      <w:r>
        <w:rPr>
          <w:sz w:val="22"/>
        </w:rPr>
        <w:t xml:space="preserve">Human Cytomegalovirus Genomes Sequenced Directly From Clinical Material: Variation, Multiple-Strain Infection, Recombination, and Gene Loss.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[suarez2019]</w:t>
      </w:r>
    </w:p>
    <w:p>
      <w:pPr>
        <w:spacing w:after="40"/>
        <w:ind w:left="283"/>
      </w:pPr>
      <w:r>
        <w:rPr>
          <w:sz w:val="22"/>
        </w:rPr>
        <w:t>— Secuenciación directa de genomas HCMV desde material clínico: variación, multiplicidad de detección de genomas y ajustes para muestras de baja CV.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discutir el desafío técnico de la NGS en muestras con CV bajas (similar a tu requisito de CV ≥10.000 UI/mL en el Estudio 2).</w:t>
      </w:r>
    </w:p>
    <w:p>
      <w:pPr>
        <w:keepNext/>
        <w:spacing w:before="200" w:after="40"/>
      </w:pPr>
      <w:r>
        <w:rPr>
          <w:b/>
          <w:sz w:val="22"/>
        </w:rPr>
        <w:t xml:space="preserve">Suárez et al. (2020). </w:t>
      </w:r>
      <w:r>
        <w:rPr>
          <w:sz w:val="22"/>
        </w:rPr>
        <w:t xml:space="preserve">Whole-Genome Approach to Assessing Human Cytomegalovirus Dynamics in Transplant Patients Undergoing Antiviral Therapy. </w:t>
      </w:r>
      <w:r>
        <w:rPr>
          <w:i/>
          <w:sz w:val="22"/>
        </w:rPr>
        <w:t>Frontiers in Cellular and Infection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[suarez2020]</w:t>
      </w:r>
    </w:p>
    <w:p>
      <w:pPr>
        <w:spacing w:after="40"/>
        <w:ind w:left="283"/>
      </w:pPr>
      <w:r>
        <w:rPr>
          <w:sz w:val="22"/>
        </w:rPr>
        <w:t>— Aproximación whole-genome para evaluar dinámicas de HCMV en pacientes trasplantados.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futuros estudios que integren genotipado y resistencia en el mismo flujo de trabajo NGS.</w:t>
      </w:r>
    </w:p>
    <w:p>
      <w:pPr>
        <w:keepNext/>
        <w:spacing w:before="200" w:after="40"/>
      </w:pPr>
      <w:r>
        <w:rPr>
          <w:b/>
          <w:sz w:val="22"/>
        </w:rPr>
        <w:t xml:space="preserve">Cudini et al. (2019). </w:t>
      </w:r>
      <w:r>
        <w:rPr>
          <w:sz w:val="22"/>
        </w:rPr>
        <w:t xml:space="preserve">Human cytomegalovirus haplotype reconstruction reveals high diversity due to superinfection and evidence of within-host recombination. </w:t>
      </w:r>
      <w:r>
        <w:rPr>
          <w:i/>
          <w:sz w:val="22"/>
        </w:rPr>
        <w:t>Proceedings of the National Academy of Sciences of the United States of America.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[cudini2019]</w:t>
      </w:r>
    </w:p>
    <w:p>
      <w:pPr>
        <w:spacing w:after="40"/>
        <w:ind w:left="283"/>
      </w:pPr>
      <w:r>
        <w:rPr>
          <w:sz w:val="22"/>
        </w:rPr>
        <w:t>— Reconstrucción de haplotipos de HCMV: revela alta diversidad por superinfección en pacientes inmunocomprometidos.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interpretación de que la aparición de nuevos genotipos en interepisodio (cambios en tu Tabla R9) puede reflejar superinfección, no solo reactivación.</w:t>
      </w:r>
    </w:p>
    <w:p>
      <w:pPr>
        <w:keepNext/>
        <w:spacing w:before="200" w:after="40"/>
      </w:pPr>
      <w:r>
        <w:rPr>
          <w:b/>
          <w:sz w:val="22"/>
        </w:rPr>
        <w:t xml:space="preserve">Brait et al. (2022). </w:t>
      </w:r>
      <w:r>
        <w:rPr>
          <w:sz w:val="22"/>
        </w:rPr>
        <w:t xml:space="preserve">Long range PCR-based deep sequencing for haplotype determination in mixed HCMV infections. </w:t>
      </w:r>
      <w:r>
        <w:rPr>
          <w:i/>
          <w:sz w:val="22"/>
        </w:rPr>
        <w:t>BMC Genomics.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[brait2022]</w:t>
      </w:r>
    </w:p>
    <w:p>
      <w:pPr>
        <w:spacing w:after="40"/>
        <w:ind w:left="283"/>
      </w:pPr>
      <w:r>
        <w:rPr>
          <w:sz w:val="22"/>
        </w:rPr>
        <w:t>— Long-range PCR-based deep sequencing para determinación de haplotipos en infecciones mixtas de HCMV: identifica linajes coexistentes con resolución imposible para genotipado fragmento-específico.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futuros estudios que profundicen en la composición real de los mixtos de tu cohorte. Tu detección de patrón dominante + fluctuantes es coherente con la noción de cuasiespecies/haplotipos coexistentes.</w:t>
      </w:r>
    </w:p>
    <w:p>
      <w:pPr>
        <w:keepNext/>
        <w:spacing w:before="200" w:after="40"/>
      </w:pPr>
      <w:r>
        <w:rPr>
          <w:b/>
          <w:sz w:val="22"/>
        </w:rPr>
        <w:t xml:space="preserve">Vankova et al. (2023). </w:t>
      </w:r>
      <w:r>
        <w:rPr>
          <w:sz w:val="22"/>
        </w:rPr>
        <w:t xml:space="preserve">NGS Technology in Monitoring the Genetic Diversity of Cytomegalovirus Strains. </w:t>
      </w:r>
      <w:r>
        <w:rPr>
          <w:i/>
          <w:sz w:val="22"/>
        </w:rPr>
        <w:t>Sovremennye tehnologii v medicine.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[vankova2023]</w:t>
      </w:r>
    </w:p>
    <w:p>
      <w:pPr>
        <w:spacing w:after="40"/>
        <w:ind w:left="283"/>
      </w:pPr>
      <w:r>
        <w:rPr>
          <w:sz w:val="22"/>
        </w:rPr>
        <w:t>— Tecnología NGS aplicada a la monitorización de la diversidad genética de cepas HCMV.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general.</w:t>
      </w:r>
    </w:p>
    <w:p>
      <w:pPr>
        <w:keepNext/>
        <w:spacing w:before="200" w:after="40"/>
      </w:pPr>
      <w:r>
        <w:rPr>
          <w:b/>
          <w:sz w:val="22"/>
        </w:rPr>
        <w:t xml:space="preserve">Vijaya Satya y DiCarlo (2014). </w:t>
      </w:r>
      <w:r>
        <w:rPr>
          <w:sz w:val="22"/>
        </w:rPr>
        <w:t xml:space="preserve">Edge effects in calling variants from targeted amplicon sequencing. </w:t>
      </w:r>
      <w:r>
        <w:rPr>
          <w:i/>
          <w:sz w:val="22"/>
        </w:rPr>
        <w:t>BMC Genomics.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[vijayasatya2014]</w:t>
      </w:r>
    </w:p>
    <w:p>
      <w:pPr>
        <w:spacing w:after="40"/>
        <w:ind w:left="283"/>
      </w:pPr>
      <w:r>
        <w:rPr>
          <w:sz w:val="22"/>
        </w:rPr>
        <w:t>— Edge effects en variant calling de NGS amplicon-based: las variantes en los bordes del amplicón se detectan con menor sensibilidad y menor especificidad.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para discutir las limitaciones técnicas del Estudio 2 al interpretar VND con frecuencia entre 5-10% en regiones de borde de amplicón.</w:t>
      </w:r>
    </w:p>
    <w:p>
      <w:pPr>
        <w:keepNext/>
        <w:spacing w:before="360" w:after="160"/>
      </w:pPr>
      <w:r>
        <w:rPr>
          <w:b/>
          <w:sz w:val="28"/>
        </w:rPr>
        <w:t>6.1.G — Hasing 2021: éxito de genotipado en función de la carga viral</w:t>
      </w:r>
    </w:p>
    <w:p>
      <w:pPr>
        <w:keepNext/>
        <w:spacing w:before="200" w:after="40"/>
      </w:pPr>
      <w:r>
        <w:rPr>
          <w:b/>
          <w:sz w:val="22"/>
        </w:rPr>
        <w:t xml:space="preserve">Hasing et al. (2021). </w:t>
      </w:r>
      <w:r>
        <w:rPr>
          <w:sz w:val="22"/>
        </w:rPr>
        <w:t xml:space="preserve">Donor Cytomegalovirus Transmission Patterns in Solid Organ Transplant Recipients With Primary Infection. </w:t>
      </w:r>
      <w:r>
        <w:rPr>
          <w:i/>
          <w:sz w:val="22"/>
        </w:rPr>
        <w:t>The Journal of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[hasing2021]</w:t>
      </w:r>
    </w:p>
    <w:p>
      <w:pPr>
        <w:spacing w:after="40"/>
        <w:ind w:left="283"/>
      </w:pPr>
      <w:r>
        <w:rPr>
          <w:sz w:val="22"/>
        </w:rPr>
        <w:t>— Patrones de transmisión de CMV donante en TOS con primoinfección (n=15 receptores D+/R- analizados): solo 1 caso de coinfección detectado (pequeño n).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OJO: Como apunta el índice, NO usar para prevalencia de mixtos. n=15 es insuficiente.</w:t>
      </w:r>
    </w:p>
    <w:p>
      <w:pPr>
        <w:spacing w:after="40"/>
        <w:ind w:left="283"/>
      </w:pPr>
      <w:r>
        <w:rPr>
          <w:sz w:val="22"/>
        </w:rPr>
        <w:t>— Éxito del genotipado en función de la CV: mediana CV en muestras con genotipado completo 13.871 UI/mL, parcial 2.460 UI/mL, fallido 1.122 UI/mL (ANOVA p&lt;0,0001).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y CITA OBLIGADA a tu hallazgo de que la CV mediana de muestras con genotipado completo (3.200 UI/mL) es significativamente mayor que en muestras con genotipado parcial (1.742 UI/mL) o fallido (1.479 UI/mL); tus resultados confirman el mismo patrón en RTP.</w:t>
      </w:r>
    </w:p>
    <w:p>
      <w:pPr>
        <w:keepNext/>
        <w:spacing w:before="480" w:after="240"/>
      </w:pPr>
      <w:r>
        <w:rPr>
          <w:b/>
          <w:sz w:val="36"/>
        </w:rPr>
        <w:t>Apartado 6.2 — Distribución genotípica gB/gH e infecciones mixtas</w:t>
      </w:r>
    </w:p>
    <w:p>
      <w:pPr>
        <w:spacing w:after="120"/>
      </w:pPr>
      <w:r>
        <w:rPr>
          <w:b w:val="0"/>
          <w:i w:val="0"/>
          <w:sz w:val="22"/>
        </w:rPr>
        <w:t>Esta sección agrupa estudios sobre la distribución poblacional de los genotipos gB y gH y sobre las infecciones mixtas en distintos escenarios clínicos: TR, TPH, TOS, TR pediátrico, infección congénita y poblaciones inmunocompetentes. Se incluyen también los procesos biológicos que originan los mixtos (transmisión donante-receptor, superinfección, reactivación) y el subanálisis serológico que articula la respuesta humoral por genotipo en tu cohorte.</w:t>
      </w:r>
    </w:p>
    <w:p>
      <w:pPr>
        <w:keepNext/>
        <w:spacing w:before="360" w:after="160"/>
      </w:pPr>
      <w:r>
        <w:rPr>
          <w:b/>
          <w:sz w:val="28"/>
        </w:rPr>
        <w:t>6.2.A — Distribución en distintos tipos de trasplante y huéspedes inmunocomprometidos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1996-2000 </w:t>
      </w:r>
      <w:r>
        <w:rPr>
          <w:b/>
          <w:i/>
          <w:sz w:val="20"/>
        </w:rPr>
        <w:t xml:space="preserve">— Primeras distribuciones en TR: </w:t>
      </w:r>
      <w:r>
        <w:rPr>
          <w:sz w:val="20"/>
        </w:rPr>
        <w:t>Vogelberg, Meyer-König, Aquino caracterizan la diversidad gB en TR.</w:t>
      </w:r>
    </w:p>
    <w:p>
      <w:pPr>
        <w:spacing w:after="40"/>
        <w:ind w:left="283"/>
      </w:pPr>
      <w:r>
        <w:rPr>
          <w:b/>
          <w:sz w:val="20"/>
        </w:rPr>
        <w:t xml:space="preserve">2003 </w:t>
      </w:r>
      <w:r>
        <w:rPr>
          <w:b/>
          <w:i/>
          <w:sz w:val="20"/>
        </w:rPr>
        <w:t xml:space="preserve">— Distribución sangre vs LCR: </w:t>
      </w:r>
      <w:r>
        <w:rPr>
          <w:sz w:val="20"/>
        </w:rPr>
        <w:t>Tarrago et al. — distribución diferente entre compartimentos.</w:t>
      </w:r>
    </w:p>
    <w:p>
      <w:pPr>
        <w:spacing w:after="40"/>
        <w:ind w:left="283"/>
      </w:pPr>
      <w:r>
        <w:rPr>
          <w:b/>
          <w:sz w:val="20"/>
        </w:rPr>
        <w:t xml:space="preserve">2004 </w:t>
      </w:r>
      <w:r>
        <w:rPr>
          <w:b/>
          <w:i/>
          <w:sz w:val="20"/>
        </w:rPr>
        <w:t xml:space="preserve">— Polimorfismos wild-type: </w:t>
      </w:r>
      <w:r>
        <w:rPr>
          <w:sz w:val="20"/>
        </w:rPr>
        <w:t>Pignatelli et al. — revisión de variabilidad inter-cepas.</w:t>
      </w:r>
    </w:p>
    <w:p>
      <w:pPr>
        <w:spacing w:after="40"/>
        <w:ind w:left="283"/>
      </w:pPr>
      <w:r>
        <w:rPr>
          <w:b/>
          <w:sz w:val="20"/>
        </w:rPr>
        <w:t xml:space="preserve">2010 </w:t>
      </w:r>
      <w:r>
        <w:rPr>
          <w:b/>
          <w:i/>
          <w:sz w:val="20"/>
        </w:rPr>
        <w:t xml:space="preserve">— Genotipos en TPH: </w:t>
      </w:r>
      <w:r>
        <w:rPr>
          <w:sz w:val="20"/>
        </w:rPr>
        <w:t>Wu et al. — predominio de gB1 en HSCT.</w:t>
      </w:r>
    </w:p>
    <w:p>
      <w:pPr>
        <w:spacing w:after="40"/>
        <w:ind w:left="283"/>
      </w:pPr>
      <w:r>
        <w:rPr>
          <w:b/>
          <w:sz w:val="20"/>
        </w:rPr>
        <w:t xml:space="preserve">2011 </w:t>
      </w:r>
      <w:r>
        <w:rPr>
          <w:b/>
          <w:i/>
          <w:sz w:val="20"/>
        </w:rPr>
        <w:t xml:space="preserve">— Genotipos en BAL TPH: </w:t>
      </w:r>
      <w:r>
        <w:rPr>
          <w:sz w:val="20"/>
        </w:rPr>
        <w:t>Bergallo et al.</w:t>
      </w:r>
    </w:p>
    <w:p>
      <w:pPr>
        <w:spacing w:after="40"/>
        <w:ind w:left="283"/>
      </w:pPr>
      <w:r>
        <w:rPr>
          <w:b/>
          <w:sz w:val="20"/>
        </w:rPr>
        <w:t xml:space="preserve">2011 </w:t>
      </w:r>
      <w:r>
        <w:rPr>
          <w:b/>
          <w:i/>
          <w:sz w:val="20"/>
        </w:rPr>
        <w:t xml:space="preserve">— TR Kuwait/India/Polonia: </w:t>
      </w:r>
      <w:r>
        <w:rPr>
          <w:sz w:val="20"/>
        </w:rPr>
        <w:t>Madi et al.; Soleimani et al.; Paradowska et al.</w:t>
      </w:r>
    </w:p>
    <w:p>
      <w:pPr>
        <w:spacing w:after="40"/>
        <w:ind w:left="283"/>
      </w:pPr>
      <w:r>
        <w:rPr>
          <w:b/>
          <w:sz w:val="20"/>
        </w:rPr>
        <w:t xml:space="preserve">2013 </w:t>
      </w:r>
      <w:r>
        <w:rPr>
          <w:b/>
          <w:i/>
          <w:sz w:val="20"/>
        </w:rPr>
        <w:t xml:space="preserve">— Mixtos en HSCT: </w:t>
      </w:r>
      <w:r>
        <w:rPr>
          <w:sz w:val="20"/>
        </w:rPr>
        <w:t>Dieamant et al.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Genotipos en TR Irán: </w:t>
      </w:r>
      <w:r>
        <w:rPr>
          <w:sz w:val="20"/>
        </w:rPr>
        <w:t>Soleimani et al.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Distribución gH/gL/gO y pentámero: </w:t>
      </w:r>
      <w:r>
        <w:rPr>
          <w:sz w:val="20"/>
        </w:rPr>
        <w:t>Paradowska et al. ampliada a complejos pentaméricos.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gB en infantes Shanghai: </w:t>
      </w:r>
      <w:r>
        <w:rPr>
          <w:sz w:val="20"/>
        </w:rPr>
        <w:t>Dong et al.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Polimorfismos de glicoproteínas — revisión: </w:t>
      </w:r>
      <w:r>
        <w:rPr>
          <w:sz w:val="20"/>
        </w:rPr>
        <w:t>Wang et al.</w:t>
      </w:r>
    </w:p>
    <w:p>
      <w:pPr>
        <w:spacing w:after="40"/>
        <w:ind w:left="283"/>
      </w:pPr>
      <w:r>
        <w:rPr>
          <w:b/>
          <w:sz w:val="20"/>
        </w:rPr>
        <w:t xml:space="preserve">2022-2024 </w:t>
      </w:r>
      <w:r>
        <w:rPr>
          <w:b/>
          <w:i/>
          <w:sz w:val="20"/>
        </w:rPr>
        <w:t xml:space="preserve">— Genotipos en TR/TPH/Sudán/Taiwan: </w:t>
      </w:r>
      <w:r>
        <w:rPr>
          <w:sz w:val="20"/>
        </w:rPr>
        <w:t>Ahmed; Vasiljevic — distribuciones recientes.</w:t>
      </w:r>
    </w:p>
    <w:p>
      <w:pPr>
        <w:keepNext/>
        <w:spacing w:before="200" w:after="40"/>
      </w:pPr>
      <w:r>
        <w:rPr>
          <w:b/>
          <w:sz w:val="22"/>
        </w:rPr>
        <w:t xml:space="preserve">Vogelberg et al. (1996). </w:t>
      </w:r>
      <w:r>
        <w:rPr>
          <w:sz w:val="22"/>
        </w:rPr>
        <w:t xml:space="preserve">Human cytomegalovirus glycoprotein B genotypes in renal transplant recipients.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[vogelberg1996]</w:t>
      </w:r>
    </w:p>
    <w:p>
      <w:pPr>
        <w:spacing w:after="40"/>
        <w:ind w:left="283"/>
      </w:pPr>
      <w:r>
        <w:rPr>
          <w:sz w:val="22"/>
        </w:rPr>
        <w:t>— Distribución de genotipos gB en TR: gB1 ≈40%, gB2 ≈30%, gB3 ≈20%, gB4 ≈10%; primer trabajo grande con esta caracterización en TR.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 con tu cohorte (gB1 39,4%, gB3 30,9%, gB2 18,9%, gB4 10,9% por episodio). Distribución muy similar en términos relativos. Permite citar la estabilidad del patrón a lo largo de tres décadas.</w:t>
      </w:r>
    </w:p>
    <w:p>
      <w:pPr>
        <w:keepNext/>
        <w:spacing w:before="200" w:after="40"/>
      </w:pPr>
      <w:r>
        <w:rPr>
          <w:b/>
          <w:sz w:val="22"/>
        </w:rPr>
        <w:t xml:space="preserve">Meyer-König et al. (1998). </w:t>
      </w:r>
      <w:r>
        <w:rPr>
          <w:sz w:val="22"/>
        </w:rPr>
        <w:t xml:space="preserve">Glycoprotein B genotype correlates with cell tropism in vivo of human cytomegalovirus infection.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[meyer-konig1998]</w:t>
      </w:r>
    </w:p>
    <w:p>
      <w:pPr>
        <w:spacing w:after="40"/>
        <w:ind w:left="283"/>
      </w:pPr>
      <w:r>
        <w:rPr>
          <w:sz w:val="22"/>
        </w:rPr>
        <w:t>— Correlación gB-tropismo celular in vivo: gB1 más frecuente en sangre, gB2 en otros compartimentos. Hipótesis de que la diversidad genotípica refleja tropismo diferenciado.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tu observación de que gB3 (con AUC mayor) podría tener cinética más prolongada por tropismo o eficacia replicativa diferencial.</w:t>
      </w:r>
    </w:p>
    <w:p>
      <w:pPr>
        <w:keepNext/>
        <w:spacing w:before="200" w:after="40"/>
      </w:pPr>
      <w:r>
        <w:rPr>
          <w:b/>
          <w:sz w:val="22"/>
        </w:rPr>
        <w:t xml:space="preserve">Meyer‐König et al. (1998). </w:t>
      </w:r>
      <w:r>
        <w:rPr>
          <w:sz w:val="22"/>
        </w:rPr>
        <w:t xml:space="preserve">Intragenic Variability of Human Cytomegalovirus Glycoprotein B in Clinical Strains.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[meyer-konig1998a]</w:t>
      </w:r>
    </w:p>
    <w:p>
      <w:pPr>
        <w:spacing w:after="40"/>
        <w:ind w:left="283"/>
      </w:pPr>
      <w:r>
        <w:rPr>
          <w:sz w:val="22"/>
        </w:rPr>
        <w:t>— Variabilidad intragénica de gB en cepas clínicas: existen subtipos dentro de gB1-gB4 con polimorfismos detectables.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Sustento para tu observación de que la variabilidad detectable por qPCR (genotipos clásicos) es solo una fracción de la variabilidad real intra-huésped, lo que justifica la heterogeneidad intra/interepisodio observada.</w:t>
      </w:r>
    </w:p>
    <w:p>
      <w:pPr>
        <w:keepNext/>
        <w:spacing w:before="200" w:after="40"/>
      </w:pPr>
      <w:r>
        <w:rPr>
          <w:b/>
          <w:sz w:val="22"/>
        </w:rPr>
        <w:t xml:space="preserve">Aquino y Figueiredo (2000). </w:t>
      </w:r>
      <w:r>
        <w:rPr>
          <w:sz w:val="22"/>
        </w:rPr>
        <w:t xml:space="preserve">High prevalence of renal transplant recipients infected with more than one cytomegalovirus glycoprotein B genotype.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[aquino2000]</w:t>
      </w:r>
    </w:p>
    <w:p>
      <w:pPr>
        <w:spacing w:after="40"/>
        <w:ind w:left="283"/>
      </w:pPr>
      <w:r>
        <w:rPr>
          <w:sz w:val="22"/>
        </w:rPr>
        <w:t>— RTR con ≥1 genotipo: proporción significativa de coinfecciones detectadas por PCR-RFLP, particularmente en la primoinfección postrasplante.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Permite citar que la prevalencia de mixtos en RTR pretransición qPCR ya estaba descrita.</w:t>
      </w:r>
    </w:p>
    <w:p>
      <w:pPr>
        <w:keepNext/>
        <w:spacing w:before="200" w:after="40"/>
      </w:pPr>
      <w:r>
        <w:rPr>
          <w:b/>
          <w:sz w:val="22"/>
        </w:rPr>
        <w:t xml:space="preserve">Aquino y Figueiredo (2000). </w:t>
      </w:r>
      <w:r>
        <w:rPr>
          <w:sz w:val="22"/>
        </w:rPr>
        <w:t xml:space="preserve">High prevalence of renal transplant recipients infected with more than one cytomegalovirus glycoprotein B genotype.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[aquino2000a]</w:t>
      </w:r>
    </w:p>
    <w:p>
      <w:pPr>
        <w:spacing w:after="40"/>
        <w:ind w:left="283"/>
      </w:pPr>
      <w:r>
        <w:rPr>
          <w:sz w:val="22"/>
        </w:rPr>
        <w:t>— Versión hermana o simultánea con resultados análogos.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complementaria.</w:t>
      </w:r>
    </w:p>
    <w:p>
      <w:pPr>
        <w:keepNext/>
        <w:spacing w:before="200" w:after="40"/>
      </w:pPr>
      <w:r>
        <w:rPr>
          <w:b/>
          <w:sz w:val="22"/>
        </w:rPr>
        <w:t xml:space="preserve">Tarragó et al. (2003). </w:t>
      </w:r>
      <w:r>
        <w:rPr>
          <w:sz w:val="22"/>
        </w:rPr>
        <w:t xml:space="preserve">Different Cytomegalovirus Glycoprotein B Genotype Distribution in Serum and Cerebrospinal Fluid Specimens Determined by a Novel Multiplex Nested PCR.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[tarrago2003]</w:t>
      </w:r>
    </w:p>
    <w:p>
      <w:pPr>
        <w:spacing w:after="40"/>
        <w:ind w:left="283"/>
      </w:pPr>
      <w:r>
        <w:rPr>
          <w:sz w:val="22"/>
        </w:rPr>
        <w:t>— Distribución diferente de genotipos gB en suero vs LCR: la cepa que llega al SNC puede ser distinta de la que circula sistémicamente.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noción de tropismo diferenciado y a la posibilidad de que distintos compartimentos alberguen subpoblaciones distintas. Coherente con tu observación de coexistencia de patrón dominante + fluctuantes.</w:t>
      </w:r>
    </w:p>
    <w:p>
      <w:pPr>
        <w:keepNext/>
        <w:spacing w:before="200" w:after="40"/>
      </w:pPr>
      <w:r>
        <w:rPr>
          <w:b/>
          <w:sz w:val="22"/>
        </w:rPr>
        <w:t xml:space="preserve">Pignatelli et al. (2004). </w:t>
      </w:r>
      <w:r>
        <w:rPr>
          <w:sz w:val="22"/>
        </w:rPr>
        <w:t xml:space="preserve">Genetic polymorphisms among human cytomegalovirus (HCMV) wild‐type strains. </w:t>
      </w:r>
      <w:r>
        <w:rPr>
          <w:i/>
          <w:sz w:val="22"/>
        </w:rPr>
        <w:t>Reviews in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[pignatelli2004]</w:t>
      </w:r>
    </w:p>
    <w:p>
      <w:pPr>
        <w:spacing w:after="40"/>
        <w:ind w:left="283"/>
      </w:pPr>
      <w:r>
        <w:rPr>
          <w:sz w:val="22"/>
        </w:rPr>
        <w:t>— Revisión exhaustiva de los polimorfismos en cepas wild-type de HCMV: caracteriza glucoproteínas, regiones reguladoras y gB-gH como dianas principales para genotipado.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general de soporte para la introducción técnica de tu Estudio 1.</w:t>
      </w:r>
    </w:p>
    <w:p>
      <w:pPr>
        <w:keepNext/>
        <w:spacing w:before="200" w:after="40"/>
      </w:pPr>
      <w:r>
        <w:rPr>
          <w:b/>
          <w:sz w:val="22"/>
        </w:rPr>
        <w:t xml:space="preserve">Wu et al. (2010). </w:t>
      </w:r>
      <w:r>
        <w:rPr>
          <w:sz w:val="22"/>
        </w:rPr>
        <w:t xml:space="preserve">Cytomegalovirus Glycoprotein B Genotype in Hematopoietic Stem Cell Transplant Patients from China. </w:t>
      </w:r>
      <w:r>
        <w:rPr>
          <w:i/>
          <w:sz w:val="22"/>
        </w:rPr>
        <w:t>Biology of Blood and Marrow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[wu2010]</w:t>
      </w:r>
    </w:p>
    <w:p>
      <w:pPr>
        <w:spacing w:after="40"/>
        <w:ind w:left="283"/>
      </w:pPr>
      <w:r>
        <w:rPr>
          <w:sz w:val="22"/>
        </w:rPr>
        <w:t>— Genotipos gB en pacientes TPH: predominio de gB1 (~50%) seguido de gB3 y gB2; tasas de mixtos comparables a TOS.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Comparable. Tu cohorte por episodio: gB1 39,4%, similar.</w:t>
      </w:r>
    </w:p>
    <w:p>
      <w:pPr>
        <w:keepNext/>
        <w:spacing w:before="200" w:after="40"/>
      </w:pPr>
      <w:r>
        <w:rPr>
          <w:b/>
          <w:sz w:val="22"/>
        </w:rPr>
        <w:t xml:space="preserve">Madi et al. (2011). </w:t>
      </w:r>
      <w:r>
        <w:rPr>
          <w:sz w:val="22"/>
        </w:rPr>
        <w:t xml:space="preserve">Cytomegalovirus Genotypes gB1 and gH1 Are the Most Predominant Genotypes among Renal Transplant Recipients in Kuwait. </w:t>
      </w:r>
      <w:r>
        <w:rPr>
          <w:i/>
          <w:sz w:val="22"/>
        </w:rPr>
        <w:t>Transplantation Proceedings.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[madi2011]</w:t>
      </w:r>
    </w:p>
    <w:p>
      <w:pPr>
        <w:spacing w:after="40"/>
        <w:ind w:left="283"/>
      </w:pPr>
      <w:r>
        <w:rPr>
          <w:sz w:val="22"/>
        </w:rPr>
        <w:t>— RTR Kuwait: gB1 y gH1 los genotipos más predominantes; coinfecciones presentes pero menos frecuentes que en TPH.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de otra región geográfica.</w:t>
      </w:r>
    </w:p>
    <w:p>
      <w:pPr>
        <w:keepNext/>
        <w:spacing w:before="200" w:after="40"/>
      </w:pPr>
      <w:r>
        <w:rPr>
          <w:b/>
          <w:sz w:val="22"/>
        </w:rPr>
        <w:t xml:space="preserve">Soleimani et al. (2018). </w:t>
      </w:r>
      <w:r>
        <w:rPr>
          <w:sz w:val="22"/>
        </w:rPr>
        <w:t xml:space="preserve">The Incidence of Cytomegalovirus Glycoprotein B Genotypes in Kidney Transplant Recipients in Iran.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[soleimani]</w:t>
      </w:r>
    </w:p>
    <w:p>
      <w:pPr>
        <w:spacing w:after="40"/>
        <w:ind w:left="283"/>
      </w:pPr>
      <w:r>
        <w:rPr>
          <w:sz w:val="22"/>
        </w:rPr>
        <w:t>— Incidencia de genotipos gB en RTR Irán: gB1 predominante, con distribución similar a la europea.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adicional. Conviene citar para reforzar la estabilidad del patrón gB1-gB3-gB2-gB4.</w:t>
      </w:r>
    </w:p>
    <w:p>
      <w:pPr>
        <w:keepNext/>
        <w:spacing w:before="200" w:after="40"/>
      </w:pPr>
      <w:r>
        <w:rPr>
          <w:b/>
          <w:sz w:val="22"/>
        </w:rPr>
        <w:t xml:space="preserve">Paradowska et al. (2019). </w:t>
      </w:r>
      <w:r>
        <w:rPr>
          <w:sz w:val="22"/>
        </w:rPr>
        <w:t xml:space="preserve">Distribution of the CMV glycoprotein gH/gL/gO and gH/gL/pUL128/pUL130/pUL131A complex variants and associated clinical manifestations in infants infected congenitally or postnatally. </w:t>
      </w:r>
      <w:r>
        <w:rPr>
          <w:i/>
          <w:sz w:val="22"/>
        </w:rPr>
        <w:t>Scientific Reports.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[paradowska2019]</w:t>
      </w:r>
    </w:p>
    <w:p>
      <w:pPr>
        <w:spacing w:after="40"/>
        <w:ind w:left="283"/>
      </w:pPr>
      <w:r>
        <w:rPr>
          <w:sz w:val="22"/>
        </w:rPr>
        <w:t>— Distribución de variantes del complejo gH/gL/gO y del pentámero gH/gL/pUL128/pUL130/pUL131A en infección postnatal.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que la diversidad gH se traduce en composiciones distintas de los complejos de entrada (trímero vs pentámero), con consecuencias funcionales sobre tropismo.</w:t>
      </w:r>
    </w:p>
    <w:p>
      <w:pPr>
        <w:keepNext/>
        <w:spacing w:before="200" w:after="40"/>
      </w:pPr>
      <w:r>
        <w:rPr>
          <w:b/>
          <w:sz w:val="22"/>
        </w:rPr>
        <w:t xml:space="preserve">Dieamant et al. (2013). </w:t>
      </w:r>
      <w:r>
        <w:rPr>
          <w:sz w:val="22"/>
        </w:rPr>
        <w:t xml:space="preserve">Cytomegalovirus (CMV) genotype in allogeneic hematopoietic stem cell transplantation. </w:t>
      </w:r>
      <w:r>
        <w:rPr>
          <w:i/>
          <w:sz w:val="22"/>
        </w:rPr>
        <w:t>BMC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[dieamant2013]</w:t>
      </w:r>
    </w:p>
    <w:p>
      <w:pPr>
        <w:spacing w:after="40"/>
        <w:ind w:left="283"/>
      </w:pPr>
      <w:r>
        <w:rPr>
          <w:sz w:val="22"/>
        </w:rPr>
        <w:t>— HSCT alogénico: distribución de genotipos gB con frecuencia elevada de mixtos; los mixtos asocian a CV mayor y mayor recurrencia.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adicional a tu hallazgo de mayor recurrencia en mixtos (HR ajustado gB+gH 2,01; gH 2,31). Referencia obligada para el párrafo sobre recurrencia.</w:t>
      </w:r>
    </w:p>
    <w:p>
      <w:pPr>
        <w:keepNext/>
        <w:spacing w:before="200" w:after="40"/>
      </w:pPr>
      <w:r>
        <w:rPr>
          <w:b/>
          <w:sz w:val="22"/>
        </w:rPr>
        <w:t xml:space="preserve">Dong et al. (2020). </w:t>
      </w:r>
      <w:r>
        <w:rPr>
          <w:sz w:val="22"/>
        </w:rPr>
        <w:t xml:space="preserve">Human cytomegalovirus envelope glycoprotein B, H, and N polymorphisms among infants of Shanghai area in China.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[dong2020]</w:t>
      </w:r>
    </w:p>
    <w:p>
      <w:pPr>
        <w:spacing w:after="40"/>
        <w:ind w:left="283"/>
      </w:pPr>
      <w:r>
        <w:rPr>
          <w:sz w:val="22"/>
        </w:rPr>
        <w:t>— Polimorfismos de gB, gH y gN en infantes en Shanghai: gB1 dominante; gB3 baja frecuencia; mixtos presentes pero raros.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adicional con población distinta.</w:t>
      </w:r>
    </w:p>
    <w:p>
      <w:pPr>
        <w:keepNext/>
        <w:spacing w:before="200" w:after="40"/>
      </w:pPr>
      <w:r>
        <w:rPr>
          <w:b/>
          <w:sz w:val="22"/>
        </w:rPr>
        <w:t xml:space="preserve">Ahmed et al. (2022). </w:t>
      </w:r>
      <w:r>
        <w:rPr>
          <w:sz w:val="22"/>
        </w:rPr>
        <w:t xml:space="preserve">Molecular Detection and Glycoprotein B (UL55) Genotyping of Cytomegalovirus among Sudanese Renal Transplant Recipients. </w:t>
      </w:r>
      <w:r>
        <w:rPr>
          <w:i/>
          <w:sz w:val="22"/>
        </w:rPr>
        <w:t>BioMed Research International.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[ahmed2022]</w:t>
      </w:r>
    </w:p>
    <w:p>
      <w:pPr>
        <w:spacing w:after="40"/>
        <w:ind w:left="283"/>
      </w:pPr>
      <w:r>
        <w:rPr>
          <w:sz w:val="22"/>
        </w:rPr>
        <w:t>— Detección molecular y genotipado gB en pacientes con cáncer en Sudán: variabilidad geográfica con distribución diferente a la europea.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comparativa de variabilidad geográfica.</w:t>
      </w:r>
    </w:p>
    <w:p>
      <w:pPr>
        <w:keepNext/>
        <w:spacing w:before="200" w:after="40"/>
      </w:pPr>
      <w:r>
        <w:rPr>
          <w:b/>
          <w:sz w:val="22"/>
        </w:rPr>
        <w:t xml:space="preserve">Huang et al. (2023). </w:t>
      </w:r>
      <w:r>
        <w:rPr>
          <w:sz w:val="22"/>
        </w:rPr>
        <w:t xml:space="preserve">Cytomegalovirus Glycoprotein B Genotype in Patients with Anterior Segment Infection. </w:t>
      </w:r>
      <w:r>
        <w:rPr>
          <w:i/>
          <w:sz w:val="22"/>
        </w:rPr>
        <w:t>International Journal of Molecular Sciences.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[huang2023]</w:t>
      </w:r>
    </w:p>
    <w:p>
      <w:pPr>
        <w:spacing w:after="40"/>
        <w:ind w:left="283"/>
      </w:pPr>
      <w:r>
        <w:rPr>
          <w:sz w:val="22"/>
        </w:rPr>
        <w:t>— Genotipo gB en infecciones del segmento anterior del ojo en Taiwán: gB1 más frecuente seguido de gB2; correlación clínica de algunos genotipos con presentación queratítica.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noción de tropismo o predominio compartimento-específico de ciertos genotipos. Útil para discusión.</w:t>
      </w:r>
    </w:p>
    <w:p>
      <w:pPr>
        <w:keepNext/>
        <w:spacing w:before="200" w:after="40"/>
      </w:pPr>
      <w:r>
        <w:rPr>
          <w:b/>
          <w:sz w:val="22"/>
        </w:rPr>
        <w:t xml:space="preserve">Vasiljevic et al. (2024). </w:t>
      </w:r>
      <w:r>
        <w:rPr>
          <w:sz w:val="22"/>
        </w:rPr>
        <w:t xml:space="preserve">Significance of Cytomegalovirus gB Genotypes in Adult Patients Undergoing Hematopoietic Stem Cell Transplantation: Insights from a Single-Centre Investigation. </w:t>
      </w:r>
      <w:r>
        <w:rPr>
          <w:i/>
          <w:sz w:val="22"/>
        </w:rPr>
        <w:t>Pharmaceuticals.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[vasiljevic2024]</w:t>
      </w:r>
    </w:p>
    <w:p>
      <w:pPr>
        <w:spacing w:after="40"/>
        <w:ind w:left="283"/>
      </w:pPr>
      <w:r>
        <w:rPr>
          <w:sz w:val="22"/>
        </w:rPr>
        <w:t>— Genotipos gB en TPH alogénico de adultos: distribución similar a estudios previos, con énfasis en la mayor frecuencia de gB1 y la frecuencia significativa de mixtos.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 reciente para complementar las distribuciones de tu cohorte.</w:t>
      </w:r>
    </w:p>
    <w:p>
      <w:pPr>
        <w:keepNext/>
        <w:spacing w:before="200" w:after="40"/>
      </w:pPr>
      <w:r>
        <w:rPr>
          <w:b/>
          <w:sz w:val="22"/>
        </w:rPr>
        <w:t xml:space="preserve">Handous et al. (2021). </w:t>
      </w:r>
      <w:r>
        <w:rPr>
          <w:sz w:val="22"/>
        </w:rPr>
        <w:t xml:space="preserve">Cytomegalovirus Glycoprotein Polymorphisms and Increasing Viral Load in Non-Transplant Patients with Hematological Malignancies Undergoing Chemotherapy: A Prospective Observational Study. </w:t>
      </w:r>
      <w:r>
        <w:rPr>
          <w:i/>
          <w:sz w:val="22"/>
        </w:rPr>
        <w:t>Infectious Diseases and Therapy.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[handous2021]</w:t>
      </w:r>
    </w:p>
    <w:p>
      <w:pPr>
        <w:spacing w:after="40"/>
        <w:ind w:left="283"/>
      </w:pPr>
      <w:r>
        <w:rPr>
          <w:sz w:val="22"/>
        </w:rPr>
        <w:t>— Polimorfismos de glucoproteínas y CV creciente en pacientes no trasplantados: la asociación entre genotipos mixtos y mayor replicación se observa también en huéspedes inmunocompetentes con inmunosupresión transitoria.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tu hallazgo de CV mayor en mixtos (CV mediana 3.667 vs 2.924 UI/mL).</w:t>
      </w:r>
    </w:p>
    <w:p>
      <w:pPr>
        <w:keepNext/>
        <w:spacing w:before="200" w:after="40"/>
      </w:pPr>
      <w:r>
        <w:rPr>
          <w:b/>
          <w:sz w:val="22"/>
        </w:rPr>
        <w:t xml:space="preserve">Wang et al. (2021). </w:t>
      </w:r>
      <w:r>
        <w:rPr>
          <w:sz w:val="22"/>
        </w:rPr>
        <w:t xml:space="preserve">Common Polymorphisms in the Glycoproteins of Human Cytomegalovirus and Associated Strain-Specific Immunity. </w:t>
      </w:r>
      <w:r>
        <w:rPr>
          <w:i/>
          <w:sz w:val="22"/>
        </w:rPr>
        <w:t>Viruses.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[wang2021]</w:t>
      </w:r>
    </w:p>
    <w:p>
      <w:pPr>
        <w:spacing w:after="40"/>
        <w:ind w:left="283"/>
      </w:pPr>
      <w:r>
        <w:rPr>
          <w:sz w:val="22"/>
        </w:rPr>
        <w:t>— Polimorfismos comunes en glucoproteínas HCMV y enfermedad asociada por cepa: revisión que sintetiza la evidencia disponible.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general de revisión para la introducción de la sección 6.2.</w:t>
      </w:r>
    </w:p>
    <w:p>
      <w:pPr>
        <w:keepNext/>
        <w:spacing w:before="200" w:after="40"/>
      </w:pPr>
      <w:r>
        <w:rPr>
          <w:b/>
          <w:sz w:val="22"/>
        </w:rPr>
        <w:t xml:space="preserve">Bergallo et al. (2011). </w:t>
      </w:r>
      <w:r>
        <w:rPr>
          <w:sz w:val="22"/>
        </w:rPr>
        <w:t xml:space="preserve">Human cytomegalovirus glycoprotein B genotyping from bronchoalveolar lavage specimens. </w:t>
      </w:r>
      <w:r>
        <w:rPr>
          <w:i/>
          <w:sz w:val="22"/>
        </w:rPr>
        <w:t>Canadian Journal of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[bergallo2011]</w:t>
      </w:r>
    </w:p>
    <w:p>
      <w:pPr>
        <w:spacing w:after="40"/>
        <w:ind w:left="283"/>
      </w:pPr>
      <w:r>
        <w:rPr>
          <w:sz w:val="22"/>
        </w:rPr>
        <w:t>— Genotipado gB en BAL de TPH; mixtos detectados en BAL.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Marcado en el INDICE como referencia con erratas. Mencionar con cautela; usar solo para soporte general de la presencia de mixtos en BAL postrasplante.</w:t>
      </w:r>
    </w:p>
    <w:p>
      <w:pPr>
        <w:keepNext/>
        <w:spacing w:before="360" w:after="160"/>
      </w:pPr>
      <w:r>
        <w:rPr>
          <w:b/>
          <w:sz w:val="28"/>
        </w:rPr>
        <w:t>6.2.B — Procesos biológicos que originan los mixtos: transmisión, superinfección y reactivación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2005 </w:t>
      </w:r>
      <w:r>
        <w:rPr>
          <w:b/>
          <w:i/>
          <w:sz w:val="20"/>
        </w:rPr>
        <w:t xml:space="preserve">— Estabilidad genotípica intra-huésped: </w:t>
      </w:r>
      <w:r>
        <w:rPr>
          <w:sz w:val="20"/>
        </w:rPr>
        <w:t>Stanton et al. — patrón dominante estable.</w:t>
      </w:r>
    </w:p>
    <w:p>
      <w:pPr>
        <w:spacing w:after="40"/>
        <w:ind w:left="283"/>
      </w:pPr>
      <w:r>
        <w:rPr>
          <w:b/>
          <w:sz w:val="20"/>
        </w:rPr>
        <w:t xml:space="preserve">2006 </w:t>
      </w:r>
      <w:r>
        <w:rPr>
          <w:b/>
          <w:i/>
          <w:sz w:val="20"/>
        </w:rPr>
        <w:t xml:space="preserve">— Múltiples cepas en sangre y pulmón RTP: </w:t>
      </w:r>
      <w:r>
        <w:rPr>
          <w:sz w:val="20"/>
        </w:rPr>
        <w:t>Puchhammer-Stöckl et al. — dos compartimentos.</w:t>
      </w:r>
    </w:p>
    <w:p>
      <w:pPr>
        <w:spacing w:after="40"/>
        <w:ind w:left="283"/>
      </w:pPr>
      <w:r>
        <w:rPr>
          <w:b/>
          <w:sz w:val="20"/>
        </w:rPr>
        <w:t xml:space="preserve">2008 </w:t>
      </w:r>
      <w:r>
        <w:rPr>
          <w:b/>
          <w:i/>
          <w:sz w:val="20"/>
        </w:rPr>
        <w:t xml:space="preserve">— Dinámicas de cepas en RTP con mixtos: </w:t>
      </w:r>
      <w:r>
        <w:rPr>
          <w:sz w:val="20"/>
        </w:rPr>
        <w:t>Görzer et al. — cinéticas individuales.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Coinfección por variantes — implicaciones: </w:t>
      </w:r>
      <w:r>
        <w:rPr>
          <w:sz w:val="20"/>
        </w:rPr>
        <w:t>Smith et al. — mixtos en TR.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Diversidad tras primoinfección: </w:t>
      </w:r>
      <w:r>
        <w:rPr>
          <w:sz w:val="20"/>
        </w:rPr>
        <w:t>Ross et al. — diversidad temprana.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Pulmón donante como reservorio: </w:t>
      </w:r>
      <w:r>
        <w:rPr>
          <w:sz w:val="20"/>
        </w:rPr>
        <w:t>Kulekci/Görzer 2022 — el pulmón como contribuidor mayor.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Transferencia bidireccional D-R: </w:t>
      </w:r>
      <w:r>
        <w:rPr>
          <w:sz w:val="20"/>
        </w:rPr>
        <w:t>Kulekci/Görzer 2024 — flujo bidireccional en seropositivos.</w:t>
      </w:r>
    </w:p>
    <w:p>
      <w:pPr>
        <w:keepNext/>
        <w:spacing w:before="200" w:after="40"/>
      </w:pPr>
      <w:r>
        <w:rPr>
          <w:b/>
          <w:sz w:val="22"/>
        </w:rPr>
        <w:t xml:space="preserve">Puchhammer-Stöckl et al. (2006). </w:t>
      </w:r>
      <w:r>
        <w:rPr>
          <w:sz w:val="22"/>
        </w:rPr>
        <w:t xml:space="preserve">Emergence of Multiple Cytomegalovirus Strains in Blood and Lung of Lung Transplant Recipients:. </w:t>
      </w:r>
      <w:r>
        <w:rPr>
          <w:i/>
          <w:sz w:val="22"/>
        </w:rPr>
        <w:t>Transplantation.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[puchhammer-stockl2006]</w:t>
      </w:r>
    </w:p>
    <w:p>
      <w:pPr>
        <w:spacing w:after="40"/>
        <w:ind w:left="283"/>
      </w:pPr>
      <w:r>
        <w:rPr>
          <w:sz w:val="22"/>
        </w:rPr>
        <w:t>— Emergencia de múltiples cepas de CMV en sangre y pulmón de RTP: las cepas pulmonares y sanguíneas pueden divergir; sugerencia de compartmentalización.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 para RTP. Apoyo directo a la idea de que el pulmón es un reservorio diferenciado y que las muestras sanguíneas pueden no reflejar toda la diversidad.</w:t>
      </w:r>
    </w:p>
    <w:p>
      <w:pPr>
        <w:keepNext/>
        <w:spacing w:before="200" w:after="40"/>
      </w:pPr>
      <w:r>
        <w:rPr>
          <w:b/>
          <w:sz w:val="22"/>
        </w:rPr>
        <w:t xml:space="preserve">Stanton et al. (2005). </w:t>
      </w:r>
      <w:r>
        <w:rPr>
          <w:sz w:val="22"/>
        </w:rPr>
        <w:t xml:space="preserve">Stability of human cytomegalovirus genotypes in persistently infected renal transplant recipients.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[stanton2005]</w:t>
      </w:r>
    </w:p>
    <w:p>
      <w:pPr>
        <w:spacing w:after="40"/>
        <w:ind w:left="283"/>
      </w:pPr>
      <w:r>
        <w:rPr>
          <w:sz w:val="22"/>
        </w:rPr>
        <w:t>— Estabilidad del genotipo dominante en pacientes con infección persistente postrasplante renal.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tu observación de patrón dominante estable en intra/interepisodio (95,2% mantienen al menos un genotipo entre episodios).</w:t>
      </w:r>
    </w:p>
    <w:p>
      <w:pPr>
        <w:keepNext/>
        <w:spacing w:before="200" w:after="40"/>
      </w:pPr>
      <w:r>
        <w:rPr>
          <w:b/>
          <w:sz w:val="22"/>
        </w:rPr>
        <w:t xml:space="preserve">Görzer et al. (2008). </w:t>
      </w:r>
      <w:r>
        <w:rPr>
          <w:sz w:val="22"/>
        </w:rPr>
        <w:t xml:space="preserve">Virus load dynamics of individual CMV‐genotypes in lung transplant recipients with mixed‐genotype infections.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[gorzer2008]</w:t>
      </w:r>
    </w:p>
    <w:p>
      <w:pPr>
        <w:spacing w:after="40"/>
        <w:ind w:left="283"/>
      </w:pPr>
      <w:r>
        <w:rPr>
          <w:sz w:val="22"/>
        </w:rPr>
        <w:t>— Dinámicas de cargas virales individuales por genotipo en RTP con mixtos: las cinéticas pueden ser asincrónicas, con genotipos minoritarios que aparecen y desaparecen.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observación de genotipos fluctuantes minoritarios coexistiendo con un dominante estable. Permite citar que las dinámicas asincrónicas son característica esperable de los mixtos en RTP.</w:t>
      </w:r>
    </w:p>
    <w:p>
      <w:pPr>
        <w:keepNext/>
        <w:spacing w:before="200" w:after="40"/>
      </w:pPr>
      <w:r>
        <w:rPr>
          <w:b/>
          <w:sz w:val="22"/>
        </w:rPr>
        <w:t xml:space="preserve">Smith et al. (2016). </w:t>
      </w:r>
      <w:r>
        <w:rPr>
          <w:sz w:val="22"/>
        </w:rPr>
        <w:t xml:space="preserve">Coinfection with Human Cytomegalovirus Genetic Variants in Transplant Recipients and Its Impact on Antiviral T Cell Immune Reconstitution. </w:t>
      </w:r>
      <w:r>
        <w:rPr>
          <w:i/>
          <w:sz w:val="22"/>
        </w:rPr>
        <w:t>Journal of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[smith2016]</w:t>
      </w:r>
    </w:p>
    <w:p>
      <w:pPr>
        <w:spacing w:after="40"/>
        <w:ind w:left="283"/>
      </w:pPr>
      <w:r>
        <w:rPr>
          <w:sz w:val="22"/>
        </w:rPr>
        <w:t>— Coinfección por variantes genéticas en pacientes trasplantados y sus implicaciones: mixtos asocian con mayor diversidad temporal y peor control inmunológico.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tu hipótesis sobre por qué los mixtos asocian con mayor recurrencia y mayor número de DNAemias.</w:t>
      </w:r>
    </w:p>
    <w:p>
      <w:pPr>
        <w:keepNext/>
        <w:spacing w:before="200" w:after="40"/>
      </w:pPr>
      <w:r>
        <w:rPr>
          <w:b/>
          <w:sz w:val="22"/>
        </w:rPr>
        <w:t xml:space="preserve">Ross et al. (2020). </w:t>
      </w:r>
      <w:r>
        <w:rPr>
          <w:sz w:val="22"/>
        </w:rPr>
        <w:t xml:space="preserve">Cytomegalovirus Genetic Diversity Following Primary Infection.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[ross2020]</w:t>
      </w:r>
    </w:p>
    <w:p>
      <w:pPr>
        <w:spacing w:after="40"/>
        <w:ind w:left="283"/>
      </w:pPr>
      <w:r>
        <w:rPr>
          <w:sz w:val="22"/>
        </w:rPr>
        <w:t>— Diversidad genética de HCMV tras primoinfección: la diversidad detectada al inicio puede ya ser polimórfica desde el primer evento.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noción de que los pacientes D+/R- pueden adquirir diversidad ya en la primoinfección desde el donante (consistente con tu subanálisis serológico AR1, AR3).</w:t>
      </w:r>
    </w:p>
    <w:p>
      <w:pPr>
        <w:keepNext/>
        <w:spacing w:before="200" w:after="40"/>
      </w:pPr>
      <w:r>
        <w:rPr>
          <w:b/>
          <w:sz w:val="22"/>
        </w:rPr>
        <w:t xml:space="preserve">Külekci et al. (2022). </w:t>
      </w:r>
      <w:r>
        <w:rPr>
          <w:sz w:val="22"/>
        </w:rPr>
        <w:t xml:space="preserve">Human cytomegalovirus strain diversity and dynamics reveal the donor lung as a major contributor after transplantation. </w:t>
      </w:r>
      <w:r>
        <w:rPr>
          <w:i/>
          <w:sz w:val="22"/>
        </w:rPr>
        <w:t>Virus Evolution.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[kulekci2022]</w:t>
      </w:r>
    </w:p>
    <w:p>
      <w:pPr>
        <w:spacing w:after="40"/>
        <w:ind w:left="283"/>
      </w:pPr>
      <w:r>
        <w:rPr>
          <w:sz w:val="22"/>
        </w:rPr>
        <w:t>— El pulmón donante es un contribuidor mayor de diversidad de cepas en RTP, especialmente en mismatches D+/R-.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observación de que los pacientes D+/R- (o D+/R- mal clasificados como RTP-2) pueden adquirir múltiples cepas desde el pulmón donante. Permite explicar por qué los pacientes D+/R- presentan en tu cohorte una proporción de mixtos no inferior (y numéricamente mayor) a la de D+/R+.</w:t>
      </w:r>
    </w:p>
    <w:p>
      <w:pPr>
        <w:keepNext/>
        <w:spacing w:before="200" w:after="40"/>
      </w:pPr>
      <w:r>
        <w:rPr>
          <w:b/>
          <w:sz w:val="22"/>
        </w:rPr>
        <w:t xml:space="preserve">Külekci et al. (2024). </w:t>
      </w:r>
      <w:r>
        <w:rPr>
          <w:sz w:val="22"/>
        </w:rPr>
        <w:t xml:space="preserve">Bidirectional transfer of human cytomegalovirus strains in donor and recipient seropositive lung transplant patients. </w:t>
      </w:r>
      <w:r>
        <w:rPr>
          <w:i/>
          <w:sz w:val="22"/>
        </w:rPr>
        <w:t>Journal of Medical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[kulekci2024]</w:t>
      </w:r>
    </w:p>
    <w:p>
      <w:pPr>
        <w:spacing w:after="40"/>
        <w:ind w:left="283"/>
      </w:pPr>
      <w:r>
        <w:rPr>
          <w:sz w:val="22"/>
        </w:rPr>
        <w:t>— Transferencia bidireccional de cepas HCMV en parejas D+/R+ trasplantadas pulmonares: ambas cepas (donante y receptor) pueden coexistir y mezclarse en el receptor postrasplante.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a tu observación de mixtos también en D+/R+ y al patrón de aparición de nuevos genotipos en sucesivos episodios (interepisodio: 4,8% sustituciones completas, pero apariciones/desapariciones más frecuentes).</w:t>
      </w:r>
    </w:p>
    <w:p>
      <w:pPr>
        <w:keepNext/>
        <w:spacing w:before="360" w:after="160"/>
      </w:pPr>
      <w:r>
        <w:rPr>
          <w:b/>
          <w:sz w:val="28"/>
        </w:rPr>
        <w:t>6.2.C — Respuesta humoral por genotipo (subanálisis serológico)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2018 </w:t>
      </w:r>
      <w:r>
        <w:rPr>
          <w:b/>
          <w:i/>
          <w:sz w:val="20"/>
        </w:rPr>
        <w:t xml:space="preserve">— Vacuna gB/MF59 — anti-AD2: </w:t>
      </w:r>
      <w:r>
        <w:rPr>
          <w:sz w:val="20"/>
        </w:rPr>
        <w:t>Baraniak et al. correlacionan anti-AD2 con protección.</w:t>
      </w:r>
    </w:p>
    <w:p>
      <w:pPr>
        <w:spacing w:after="40"/>
        <w:ind w:left="283"/>
      </w:pPr>
      <w:r>
        <w:rPr>
          <w:b/>
          <w:sz w:val="20"/>
        </w:rPr>
        <w:t xml:space="preserve">2018-2020 </w:t>
      </w:r>
      <w:r>
        <w:rPr>
          <w:b/>
          <w:i/>
          <w:sz w:val="20"/>
        </w:rPr>
        <w:t xml:space="preserve">— Función de anticuerpos y replicación post-RTP: </w:t>
      </w:r>
      <w:r>
        <w:rPr>
          <w:sz w:val="20"/>
        </w:rPr>
        <w:t>Vietzen et al. — ADCC y replicación.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Pérdida intra-huésped de variantes gB: </w:t>
      </w:r>
      <w:r>
        <w:rPr>
          <w:sz w:val="20"/>
        </w:rPr>
        <w:t>Nelson et al.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Respuesta IgG genotipo-específica: </w:t>
      </w:r>
      <w:r>
        <w:rPr>
          <w:sz w:val="20"/>
        </w:rPr>
        <w:t>Zavaglio et al. — anti-gB1/gB2 y anti-gH1/gH2.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Especificidad fina de la respuesta humoral: </w:t>
      </w:r>
      <w:r>
        <w:rPr>
          <w:sz w:val="20"/>
        </w:rPr>
        <w:t>Eberhard et al.</w:t>
      </w:r>
    </w:p>
    <w:p>
      <w:pPr>
        <w:keepNext/>
        <w:spacing w:before="200" w:after="40"/>
      </w:pPr>
      <w:r>
        <w:rPr>
          <w:b/>
          <w:sz w:val="22"/>
        </w:rPr>
        <w:t xml:space="preserve">Baraniak et al. (2018). </w:t>
      </w:r>
      <w:r>
        <w:rPr>
          <w:sz w:val="22"/>
        </w:rPr>
        <w:t xml:space="preserve">Epitope-Specific Humoral Responses to Human Cytomegalovirus Glycoprotein-B Vaccine With MF59: Anti-AD2 Levels Correlate With Protection From Viremia.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[baraniak2018]</w:t>
      </w:r>
    </w:p>
    <w:p>
      <w:pPr>
        <w:spacing w:after="40"/>
        <w:ind w:left="283"/>
      </w:pPr>
      <w:r>
        <w:rPr>
          <w:sz w:val="22"/>
        </w:rPr>
        <w:t>— Vacuna gB/MF59 en TOS seronegativos: los niveles de anticuerpos anti-AD2 correlacionan con protección frente a viremia, mientras que los niveles globales anti-gB no.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hipótesis de que la respuesta humoral genotipo-específica (no la respuesta global anti-gB) puede ser determinante en el control de la replicación. Tu subanálisis serológico evalúa anti-gB1/anti-gB2 separadamente, en línea con esta racionalidad.</w:t>
      </w:r>
    </w:p>
    <w:p>
      <w:pPr>
        <w:keepNext/>
        <w:spacing w:before="200" w:after="40"/>
      </w:pPr>
      <w:r>
        <w:rPr>
          <w:b/>
          <w:sz w:val="22"/>
        </w:rPr>
        <w:t xml:space="preserve">Vietzen et al. (2018). </w:t>
      </w:r>
      <w:r>
        <w:rPr>
          <w:sz w:val="22"/>
        </w:rPr>
        <w:t xml:space="preserve">Association between antibody functions and human cytomegalovirus (HCMV) replication after lung transplantation in HCMV-seropositive patients. </w:t>
      </w:r>
      <w:r>
        <w:rPr>
          <w:i/>
          <w:sz w:val="22"/>
        </w:rPr>
        <w:t>The Journal of Heart and Lung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[vietzen2018d]</w:t>
      </w:r>
    </w:p>
    <w:p>
      <w:pPr>
        <w:spacing w:after="40"/>
        <w:ind w:left="283"/>
      </w:pPr>
      <w:r>
        <w:rPr>
          <w:sz w:val="22"/>
        </w:rPr>
        <w:t>— Asociación entre función de anticuerpos (ADCC, neutralización) y replicación HCMV postrasplante: la magnitud y la especificidad de la respuesta humoral influyen en el aclaramiento.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discutir que en pacientes con seropositividad pretrasplante a ambos genotipos (R+ doble), la coexistencia post-trasplante de mixtos sigue siendo posible si la respuesta no es eficaz.</w:t>
      </w:r>
    </w:p>
    <w:p>
      <w:pPr>
        <w:keepNext/>
        <w:spacing w:before="200" w:after="40"/>
      </w:pPr>
      <w:r>
        <w:rPr>
          <w:b/>
          <w:sz w:val="22"/>
        </w:rPr>
        <w:t xml:space="preserve">Vietzen et al. (2020). </w:t>
      </w:r>
      <w:r>
        <w:rPr>
          <w:sz w:val="22"/>
        </w:rPr>
        <w:t xml:space="preserve">Human Cytomegalovirus (HCMV)-Specific Antibody Response and Development of Antibody-Dependent Cellular Cytotoxicity Against HCMV After Lung Transplantation.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[vietzen2020a]</w:t>
      </w:r>
    </w:p>
    <w:p>
      <w:pPr>
        <w:spacing w:after="40"/>
        <w:ind w:left="283"/>
      </w:pPr>
      <w:r>
        <w:rPr>
          <w:sz w:val="22"/>
        </w:rPr>
        <w:t>— Respuesta de anticuerpos HCMV-específicos y desarrollo de citotoxicidad celular dependiente de anticuerpos (ADCC) tras trasplante: la ADCC es un mecanismo clave de control viral.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Nelson et al. (2019). </w:t>
      </w:r>
      <w:r>
        <w:rPr>
          <w:sz w:val="22"/>
        </w:rPr>
        <w:t xml:space="preserve">Intrahost Dynamics of Human Cytomegalovirus Variants Acquired by Seronegative Glycoprotein B Vaccinees. </w:t>
      </w:r>
      <w:r>
        <w:rPr>
          <w:i/>
          <w:sz w:val="22"/>
        </w:rPr>
        <w:t>Journal of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[nelson2019]</w:t>
      </w:r>
    </w:p>
    <w:p>
      <w:pPr>
        <w:spacing w:after="40"/>
        <w:ind w:left="283"/>
      </w:pPr>
      <w:r>
        <w:rPr>
          <w:sz w:val="22"/>
        </w:rPr>
        <w:t>— Dinámicas intra-huésped de variantes HCMV adquiridas por receptores seronegativos para gB: pérdida y reemplazo de subpoblaciones a lo largo del seguimiento.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observación de variabilidad intraepisodio en mixtos (83,3% variabilidad) y a la noción de que la presión inmune del receptor selecciona genotipos a lo largo del seguimiento.</w:t>
      </w:r>
    </w:p>
    <w:p>
      <w:pPr>
        <w:keepNext/>
        <w:spacing w:before="200" w:after="40"/>
      </w:pPr>
      <w:r>
        <w:rPr>
          <w:b/>
          <w:sz w:val="22"/>
        </w:rPr>
        <w:t xml:space="preserve">Eberhard et al. (2021). </w:t>
      </w:r>
      <w:r>
        <w:rPr>
          <w:sz w:val="22"/>
        </w:rPr>
        <w:t xml:space="preserve">Analysis and Fine Specificity of the HCMV-Specific Cell-Free and Cell-Associated Antibody-Dependent Cellular Phagocytosis (ADCP) Responses in Lung Transplant Recipients. </w:t>
      </w:r>
      <w:r>
        <w:rPr>
          <w:i/>
          <w:sz w:val="22"/>
        </w:rPr>
        <w:t>International Journal of Molecular Sciences.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[eberhard2021]</w:t>
      </w:r>
    </w:p>
    <w:p>
      <w:pPr>
        <w:spacing w:after="40"/>
        <w:ind w:left="283"/>
      </w:pPr>
      <w:r>
        <w:rPr>
          <w:sz w:val="22"/>
        </w:rPr>
        <w:t>— Análisis de la fina especificidad de la respuesta de anticuerpos HCMV-específicos celular y libre.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al subanálisis serológico.</w:t>
      </w:r>
    </w:p>
    <w:p>
      <w:pPr>
        <w:keepNext/>
        <w:spacing w:before="200" w:after="40"/>
      </w:pPr>
      <w:r>
        <w:rPr>
          <w:b/>
          <w:sz w:val="22"/>
        </w:rPr>
        <w:t xml:space="preserve">Zavaglio et al. (2021). </w:t>
      </w:r>
      <w:r>
        <w:rPr>
          <w:sz w:val="22"/>
        </w:rPr>
        <w:t xml:space="preserve">Detection of Genotype-Specific Antibody Responses to Glycoproteins B and H in Primary and Non-Primary Human Cytomegalovirus Infections by Peptide-Based ELISA. </w:t>
      </w:r>
      <w:r>
        <w:rPr>
          <w:i/>
          <w:sz w:val="22"/>
        </w:rPr>
        <w:t>Viruses.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[zavaglio2021]</w:t>
      </w:r>
    </w:p>
    <w:p>
      <w:pPr>
        <w:spacing w:after="40"/>
        <w:ind w:left="283"/>
      </w:pPr>
      <w:r>
        <w:rPr>
          <w:sz w:val="22"/>
        </w:rPr>
        <w:t>— Detección de respuestas IgG genotipo-específicas frente a gB y gH en infección primaria y reactivación: en primoinfección la respuesta puede ser solo monotípica; en reactivación pueden coexistir respuestas a ambos genotipos.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Es la referencia metodológica para interpretar tu subanálisis serológico de los 8 RTP con mixtos gB1+gB2: la presencia de IgG dual en el receptor compatible con exposición previa a ambas variantes; la respuesta exclusivamente al genotipo dominante compatible con primoinfección con cepa única + adquisición posterior.</w:t>
      </w:r>
    </w:p>
    <w:p>
      <w:pPr>
        <w:keepNext/>
        <w:spacing w:before="480" w:after="240"/>
      </w:pPr>
      <w:r>
        <w:rPr>
          <w:b/>
          <w:sz w:val="36"/>
        </w:rPr>
        <w:t>Apartado 6.3 — Cinética viral, AUC y comportamiento de los mixtos</w:t>
      </w:r>
    </w:p>
    <w:p>
      <w:pPr>
        <w:spacing w:after="120"/>
      </w:pPr>
      <w:r>
        <w:rPr>
          <w:b w:val="0"/>
          <w:i w:val="0"/>
          <w:sz w:val="22"/>
        </w:rPr>
        <w:t>Esta sección agrupa los estudios que han examinado la cinética viral en pacientes trasplantados (cargas pico, tiempo de aclaramiento, AUC) y su relación con los genotipos y con los mixtos. Es uno de los puntos centrales de tu Estudio 1.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2012 </w:t>
      </w:r>
      <w:r>
        <w:rPr>
          <w:b/>
          <w:i/>
          <w:sz w:val="20"/>
        </w:rPr>
        <w:t xml:space="preserve">— Cinéticas decay diferenciales por gB: </w:t>
      </w:r>
      <w:r>
        <w:rPr>
          <w:sz w:val="20"/>
        </w:rPr>
        <w:t>Emery, Manuel et al. — gB1 vs otros genotipos en VICTOR.</w:t>
      </w:r>
    </w:p>
    <w:p>
      <w:pPr>
        <w:spacing w:after="40"/>
        <w:ind w:left="283"/>
      </w:pPr>
      <w:r>
        <w:rPr>
          <w:b/>
          <w:sz w:val="20"/>
        </w:rPr>
        <w:t xml:space="preserve">2014-2015 </w:t>
      </w:r>
      <w:r>
        <w:rPr>
          <w:b/>
          <w:i/>
          <w:sz w:val="20"/>
        </w:rPr>
        <w:t xml:space="preserve">— Evolución intra-huésped — modelos: </w:t>
      </w:r>
      <w:r>
        <w:rPr>
          <w:sz w:val="20"/>
        </w:rPr>
        <w:t>Renzette et al. integran diversidad y dinámicas.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Diversidad poblacional y cinética en HSCT: </w:t>
      </w:r>
      <w:r>
        <w:rPr>
          <w:sz w:val="20"/>
        </w:rPr>
        <w:t>Vinuesa et al. — mixtos asocian con cinética distinta.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DNA shedding pulmonar (BAL): </w:t>
      </w:r>
      <w:r>
        <w:rPr>
          <w:sz w:val="20"/>
        </w:rPr>
        <w:t>Boeckh et al. — cuantificación en BAL.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DNA shedding pulmonar HSCT: </w:t>
      </w:r>
      <w:r>
        <w:rPr>
          <w:sz w:val="20"/>
        </w:rPr>
        <w:t>Piñana et al.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Predictores progresión/aclaramiento DNAemia baja: </w:t>
      </w:r>
      <w:r>
        <w:rPr>
          <w:sz w:val="20"/>
        </w:rPr>
        <w:t>Natori et al.</w:t>
      </w:r>
    </w:p>
    <w:p>
      <w:pPr>
        <w:keepNext/>
        <w:spacing w:before="200" w:after="40"/>
      </w:pPr>
      <w:r>
        <w:rPr>
          <w:b/>
          <w:sz w:val="22"/>
        </w:rPr>
        <w:t xml:space="preserve">Emery et al. (2012). </w:t>
      </w:r>
      <w:r>
        <w:rPr>
          <w:sz w:val="22"/>
        </w:rPr>
        <w:t xml:space="preserve">Differential decay kinetics of human cytomegalovirus glycoprotein B genotypes following antiviral chemotherapy.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[emery2012]</w:t>
      </w:r>
    </w:p>
    <w:p>
      <w:pPr>
        <w:spacing w:after="40"/>
        <w:ind w:left="283"/>
      </w:pPr>
      <w:r>
        <w:rPr>
          <w:sz w:val="22"/>
        </w:rPr>
        <w:t>— Cinéticas de decaimiento diferenciales según genotipo gB tras inicio de tratamiento antiviral en TOS (datos de VICTOR): gB3 con decaimiento más lento que gB1 y gB2; mixtos con decaimiento más lento.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casi literal a tu hallazgo. Tu cohorte (sin estratificar por presencia/ausencia de antiviral): gB3 únicos con aclaramiento más prolongado (40 vs 25 gB1, 23 gB2; p=0,002) y AUC mayor (Kruskal-Wallis p=0,046; Dunn-Bonferroni gB3 vs gB1 p=0,021). Permite citar la concordancia: gB3 es el genotipo más lento de aclarar tanto en condiciones de tratamiento como sin tratamiento. SUSTITUYE a Bergallo 2011 (excluida por el INDICE).</w:t>
      </w:r>
    </w:p>
    <w:p>
      <w:pPr>
        <w:keepNext/>
        <w:spacing w:before="200" w:after="40"/>
      </w:pPr>
      <w:r>
        <w:rPr>
          <w:b/>
          <w:sz w:val="22"/>
        </w:rPr>
        <w:t xml:space="preserve">Renzette et al. (2014). </w:t>
      </w:r>
      <w:r>
        <w:rPr>
          <w:sz w:val="22"/>
        </w:rPr>
        <w:t xml:space="preserve">Human cytomegalovirus intrahost evolution—a new avenue for understanding and controlling herpesvirus infections. </w:t>
      </w:r>
      <w:r>
        <w:rPr>
          <w:i/>
          <w:sz w:val="22"/>
        </w:rPr>
        <w:t>Current Opinion in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[renzette2014]</w:t>
      </w:r>
    </w:p>
    <w:p>
      <w:pPr>
        <w:spacing w:after="40"/>
        <w:ind w:left="283"/>
      </w:pPr>
      <w:r>
        <w:rPr>
          <w:sz w:val="22"/>
        </w:rPr>
        <w:t>— Evolución intra-huésped de HCMV: una nueva avenida para entender y controlar la enfermedad. Marco conceptual integrando diversidad, dinámicas y selección.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discutir los hallazgos de Estudio 1 (cuasiespecies con dominante estable y minoritarios fluctuantes) en el marco de evolución intra-huésped.</w:t>
      </w:r>
    </w:p>
    <w:p>
      <w:pPr>
        <w:keepNext/>
        <w:spacing w:before="200" w:after="40"/>
      </w:pPr>
      <w:r>
        <w:rPr>
          <w:b/>
          <w:sz w:val="22"/>
        </w:rPr>
        <w:t xml:space="preserve">Renzette et al. (2015). </w:t>
      </w:r>
      <w:r>
        <w:rPr>
          <w:sz w:val="22"/>
        </w:rPr>
        <w:t xml:space="preserve">Limits and patterns of cytomegalovirus genomic diversity in humans. </w:t>
      </w:r>
      <w:r>
        <w:rPr>
          <w:i/>
          <w:sz w:val="22"/>
        </w:rPr>
        <w:t>Proceedings of the National Academy of Sciences.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[renzette2015]</w:t>
      </w:r>
    </w:p>
    <w:p>
      <w:pPr>
        <w:spacing w:after="40"/>
        <w:ind w:left="283"/>
      </w:pPr>
      <w:r>
        <w:rPr>
          <w:sz w:val="22"/>
        </w:rPr>
        <w:t>— Límites y patrones de diversidad genómica de HCMV en humanos: cuantificación de la diversidad inter e intra-huésped.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general para discutir los rangos de diversidad esperables.</w:t>
      </w:r>
    </w:p>
    <w:p>
      <w:pPr>
        <w:keepNext/>
        <w:spacing w:before="200" w:after="40"/>
      </w:pPr>
      <w:r>
        <w:rPr>
          <w:b/>
          <w:sz w:val="22"/>
        </w:rPr>
        <w:t xml:space="preserve">Vinuesa et al. (2017). </w:t>
      </w:r>
      <w:r>
        <w:rPr>
          <w:sz w:val="22"/>
        </w:rPr>
        <w:t xml:space="preserve">The impact of virus population diversity on the dynamics of cytomegalovirus DNAemia in allogeneic stem cell transplant recipients. </w:t>
      </w:r>
      <w:r>
        <w:rPr>
          <w:i/>
          <w:sz w:val="22"/>
        </w:rPr>
        <w:t>Journal of General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[vinuesa2017]</w:t>
      </w:r>
    </w:p>
    <w:p>
      <w:pPr>
        <w:spacing w:after="40"/>
        <w:ind w:left="283"/>
      </w:pPr>
      <w:r>
        <w:rPr>
          <w:sz w:val="22"/>
        </w:rPr>
        <w:t>— Impacto de la diversidad poblacional viral en la dinámica de DNAemia HCMV en alo-TPH: los mixtos asocian con cinéticas distintas y posiblemente con peor control.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tus hallazgos en RTP. Permite discutir la consistencia entre TPH y RTP en el comportamiento cinético de los mixtos.</w:t>
      </w:r>
    </w:p>
    <w:p>
      <w:pPr>
        <w:keepNext/>
        <w:spacing w:before="200" w:after="40"/>
      </w:pPr>
      <w:r>
        <w:rPr>
          <w:b/>
          <w:sz w:val="22"/>
        </w:rPr>
        <w:t xml:space="preserve">Boeckh et al. (2017). </w:t>
      </w:r>
      <w:r>
        <w:rPr>
          <w:sz w:val="22"/>
        </w:rPr>
        <w:t xml:space="preserve">Cytomegalovirus (CMV) DNA Quantitation in Bronchoalveolar Lavage Fluid From Hematopoietic Stem Cell Transplant Recipients With CMV Pneumonia.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[boeckh2017]</w:t>
      </w:r>
    </w:p>
    <w:p>
      <w:pPr>
        <w:spacing w:after="40"/>
        <w:ind w:left="283"/>
      </w:pPr>
      <w:r>
        <w:rPr>
          <w:sz w:val="22"/>
        </w:rPr>
        <w:t>— Cuantificación de DNA HCMV en BAL de TPH: la CV en BAL es un biomarcador de neumonitis y permite seguimiento independiente de la sangre.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futuras extensiones de tu Estudio 1 al BAL en RTP, donde el pulmón es el órgano trasplantado.</w:t>
      </w:r>
    </w:p>
    <w:p>
      <w:pPr>
        <w:keepNext/>
        <w:spacing w:before="200" w:after="40"/>
      </w:pPr>
      <w:r>
        <w:rPr>
          <w:b/>
          <w:sz w:val="22"/>
        </w:rPr>
        <w:t xml:space="preserve">Piñana et al. (2019). </w:t>
      </w:r>
      <w:r>
        <w:rPr>
          <w:sz w:val="22"/>
        </w:rPr>
        <w:t xml:space="preserve">Pulmonary cytomegalovirus (CMV) DNA shedding in allogeneic hematopoietic stem cell transplant recipients: Implications for the diagnosis of CMV pneumonia. </w:t>
      </w:r>
      <w:r>
        <w:rPr>
          <w:i/>
          <w:sz w:val="22"/>
        </w:rPr>
        <w:t>Journal of Infection.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[pinana2019]</w:t>
      </w:r>
    </w:p>
    <w:p>
      <w:pPr>
        <w:spacing w:after="40"/>
        <w:ind w:left="283"/>
      </w:pPr>
      <w:r>
        <w:rPr>
          <w:sz w:val="22"/>
        </w:rPr>
        <w:t>— DNA shedding pulmonar (BAL) en alo-TPH: la cuantificación pulmonar predice complicaciones independientemente de la cuantificación sanguínea.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y motivacional para muestreo respiratorio.</w:t>
      </w:r>
    </w:p>
    <w:p>
      <w:pPr>
        <w:keepNext/>
        <w:spacing w:before="200" w:after="40"/>
      </w:pPr>
      <w:r>
        <w:rPr>
          <w:b/>
          <w:sz w:val="22"/>
        </w:rPr>
        <w:t xml:space="preserve">Natori et al. (2020). </w:t>
      </w:r>
      <w:r>
        <w:rPr>
          <w:sz w:val="22"/>
        </w:rPr>
        <w:t xml:space="preserve">Clinical predictors of progression and clearance of low‐level CMV DNAemia in solid organ transplant recipients.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[natori2020]</w:t>
      </w:r>
    </w:p>
    <w:p>
      <w:pPr>
        <w:spacing w:after="40"/>
        <w:ind w:left="283"/>
      </w:pPr>
      <w:r>
        <w:rPr>
          <w:sz w:val="22"/>
        </w:rPr>
        <w:t>— Predictores clínicos de progresión y aclaramiento de DNAemia bajo nivel en TOS: ciertos pacientes con DNAemia &lt;1.000 UI/mL progresan a niveles superiores y otros aclaran espontáneamente; los predictores incluyen seroestatus, profilaxis y tipo de TOS.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decisión de incluir solo episodios con CV &gt;1.000 UI/mL en tu cohorte como umbral clínicamente significativo, alineado con la literatura.</w:t>
      </w:r>
    </w:p>
    <w:p>
      <w:pPr>
        <w:keepNext/>
        <w:spacing w:before="200" w:after="40"/>
      </w:pPr>
      <w:r>
        <w:rPr>
          <w:b/>
          <w:sz w:val="22"/>
        </w:rPr>
        <w:t xml:space="preserve">Natori et al. (2020). </w:t>
      </w:r>
      <w:r>
        <w:rPr>
          <w:sz w:val="22"/>
        </w:rPr>
        <w:t xml:space="preserve">Clinical predictors of progression and clearance of low‐level CMV DNAemia in solid organ transplant recipients.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[natori2020a]</w:t>
      </w:r>
    </w:p>
    <w:p>
      <w:pPr>
        <w:spacing w:after="40"/>
        <w:ind w:left="283"/>
      </w:pPr>
      <w:r>
        <w:rPr>
          <w:sz w:val="22"/>
        </w:rPr>
        <w:t>— Versión secundaria o ampliada del trabajo principal sobre DNAemia bajo nivel.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complementaria.</w:t>
      </w:r>
    </w:p>
    <w:p>
      <w:pPr>
        <w:keepNext/>
        <w:spacing w:before="480" w:after="240"/>
      </w:pPr>
      <w:r>
        <w:rPr>
          <w:b/>
          <w:sz w:val="36"/>
        </w:rPr>
        <w:t>Apartado 6.4 — Desenlaces clínicos</w:t>
      </w:r>
    </w:p>
    <w:p>
      <w:pPr>
        <w:spacing w:after="120"/>
      </w:pPr>
      <w:r>
        <w:rPr>
          <w:b w:val="0"/>
          <w:i w:val="0"/>
          <w:sz w:val="22"/>
        </w:rPr>
        <w:t>Este apartado agrupa la literatura sobre desenlaces clínicos asociados a CMV: enfermedad sintomática, DCIP/CLAD, mortalidad, neoplasias, infecciones oportunistas y efectos indirectos.</w:t>
      </w:r>
    </w:p>
    <w:p>
      <w:pPr>
        <w:keepNext/>
        <w:spacing w:before="360" w:after="160"/>
      </w:pPr>
      <w:r>
        <w:rPr>
          <w:b/>
          <w:sz w:val="28"/>
        </w:rPr>
        <w:t>6.4.A — CMV y trasplante pulmonar — visión general</w:t>
      </w:r>
    </w:p>
    <w:p>
      <w:pPr>
        <w:keepNext/>
        <w:spacing w:before="200" w:after="40"/>
      </w:pPr>
      <w:r>
        <w:rPr>
          <w:b/>
          <w:sz w:val="22"/>
        </w:rPr>
        <w:t xml:space="preserve">Zamora (2004). </w:t>
      </w:r>
      <w:r>
        <w:rPr>
          <w:sz w:val="22"/>
        </w:rPr>
        <w:t xml:space="preserve">Cytomegalovirus and Lung Transplantation.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[zamora2004]</w:t>
      </w:r>
    </w:p>
    <w:p>
      <w:pPr>
        <w:spacing w:after="40"/>
        <w:ind w:left="283"/>
      </w:pPr>
      <w:r>
        <w:rPr>
          <w:sz w:val="22"/>
        </w:rPr>
        <w:t>— Revisión de CMV en trasplante pulmonar: factores de riesgo (D+/R-), manifestaciones clínicas (síndrome viral, neumonitis, enfermedad órgano-específica) y profilaxis.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clásica para el contexto general en RTP. Útil para la introducción y para la discusión sobre la baja proporción de enfermedad sintomática observada en tu cohorte (20,5%) en comparación con cohortes históricas pre-profilaxis prolongada.</w:t>
      </w:r>
    </w:p>
    <w:p>
      <w:pPr>
        <w:keepNext/>
        <w:spacing w:before="360" w:after="160"/>
      </w:pPr>
      <w:r>
        <w:rPr>
          <w:b/>
          <w:sz w:val="28"/>
        </w:rPr>
        <w:t>6.4.B — DCIP/CLAD y CMV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CMV y rechazo agudo y crónico — meta-revisión: </w:t>
      </w:r>
      <w:r>
        <w:rPr>
          <w:sz w:val="20"/>
        </w:rPr>
        <w:t>Stern et al.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UL40 y CLAD: </w:t>
      </w:r>
      <w:r>
        <w:rPr>
          <w:sz w:val="20"/>
        </w:rPr>
        <w:t>Vietzen et al.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CARVs, CLAD y CMV: </w:t>
      </w:r>
      <w:r>
        <w:rPr>
          <w:sz w:val="20"/>
        </w:rPr>
        <w:t>Peghin et al.; Bennett et al.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Mismatch CMV de alto riesgo y desenlaces a largo plazo en RTP: </w:t>
      </w:r>
      <w:r>
        <w:rPr>
          <w:sz w:val="20"/>
        </w:rPr>
        <w:t>Banga et al.</w:t>
      </w:r>
    </w:p>
    <w:p>
      <w:pPr>
        <w:keepNext/>
        <w:spacing w:before="200" w:after="40"/>
      </w:pPr>
      <w:r>
        <w:rPr>
          <w:b/>
          <w:sz w:val="22"/>
        </w:rPr>
        <w:t xml:space="preserve">Stern et al. (2014). </w:t>
      </w:r>
      <w:r>
        <w:rPr>
          <w:sz w:val="22"/>
        </w:rPr>
        <w:t xml:space="preserve">Cytomegalovirus Serology and Replication Remain Associated With Solid Organ Graft Rejection and Graft Loss in the Era of Prophylactic Treatment. </w:t>
      </w:r>
      <w:r>
        <w:rPr>
          <w:i/>
          <w:sz w:val="22"/>
        </w:rPr>
        <w:t>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[stern2014]</w:t>
      </w:r>
    </w:p>
    <w:p>
      <w:pPr>
        <w:spacing w:after="40"/>
        <w:ind w:left="283"/>
      </w:pPr>
      <w:r>
        <w:rPr>
          <w:sz w:val="22"/>
        </w:rPr>
        <w:t>— Serología CMV y replicación se asocian con rechazo en trasplante de órgano sólido, evaluado en multicéntrico: la replicación CMV es un determinante del rechazo, especialmente agudo.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tu observación de mayor frecuencia de rechazo agudo precoz en pacientes con mixtos (90% vs 50% en el primer año; p=0,087, tendencia). Permite discutir que la replicación CMV — más prolongada en los mixtos — está asociada con rechazo.</w:t>
      </w:r>
    </w:p>
    <w:p>
      <w:pPr>
        <w:keepNext/>
        <w:spacing w:before="200" w:after="40"/>
      </w:pPr>
      <w:r>
        <w:rPr>
          <w:b/>
          <w:sz w:val="22"/>
        </w:rPr>
        <w:t xml:space="preserve">Vietzen et al. (2021). </w:t>
      </w:r>
      <w:r>
        <w:rPr>
          <w:sz w:val="22"/>
        </w:rPr>
        <w:t xml:space="preserve">Association between chronic lung allograft dysfunction and human Cytomegalovirus UL40 peptide variants in lung-transplant recipients. </w:t>
      </w:r>
      <w:r>
        <w:rPr>
          <w:i/>
          <w:sz w:val="22"/>
        </w:rPr>
        <w:t>The Journal of Heart and Lung Transplantation.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[vietzen2021]</w:t>
      </w:r>
    </w:p>
    <w:p>
      <w:pPr>
        <w:spacing w:after="40"/>
        <w:ind w:left="283"/>
      </w:pPr>
      <w:r>
        <w:rPr>
          <w:sz w:val="22"/>
        </w:rPr>
        <w:t>— Variantes de UL40 (péptido HLA-E) en RTP asocian con CLAD: pacientes con haplotipos UL40 capaces de presentar el péptido HLA-E muestran mayor incidencia de CLAD.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 para futuras extensiones del Estudio 1: amplía el genotipado a UL40 podría refinar la asociación con DCIP. Tu cohorte no encontró asociación de mixtos gB/gH con DCIP; UL40 podría ser el polimorfismo realmente relevante para CLAD.</w:t>
      </w:r>
    </w:p>
    <w:p>
      <w:pPr>
        <w:keepNext/>
        <w:spacing w:before="200" w:after="40"/>
      </w:pPr>
      <w:r>
        <w:rPr>
          <w:b/>
          <w:sz w:val="22"/>
        </w:rPr>
        <w:t xml:space="preserve">Bennett et al. (2022). </w:t>
      </w:r>
      <w:r>
        <w:rPr>
          <w:sz w:val="22"/>
        </w:rPr>
        <w:t xml:space="preserve">Cytomegalovirus Infection Is Associated with Development of Chronic Lung Allograft Dysfunction. </w:t>
      </w:r>
      <w:r>
        <w:rPr>
          <w:i/>
          <w:sz w:val="22"/>
        </w:rPr>
        <w:t>Lung.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[bennett2022]</w:t>
      </w:r>
    </w:p>
    <w:p>
      <w:pPr>
        <w:spacing w:after="40"/>
        <w:ind w:left="283"/>
      </w:pPr>
      <w:r>
        <w:rPr>
          <w:sz w:val="22"/>
        </w:rPr>
        <w:t>— Infección por CMV asociada con desarrollo de DCIP/CLAD en RTP: la replicación recurrente o persistente es factor de riesgo independiente.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importancia clínica de la disminución de DNAemias recurrentes en RTP. Tu cohorte mostró aumento de DNAemias en mixtos (IRR 1,28; p=0,026) pero no asociación directa con DCIP, lo que sugiere que el efecto sobre DCIP requiere mayor magnitud o duración de la replicación.</w:t>
      </w:r>
    </w:p>
    <w:p>
      <w:pPr>
        <w:keepNext/>
        <w:spacing w:before="200" w:after="40"/>
      </w:pPr>
      <w:r>
        <w:rPr>
          <w:b/>
          <w:sz w:val="22"/>
        </w:rPr>
        <w:t xml:space="preserve">Peghin y Hirsch (2022). </w:t>
      </w:r>
      <w:r>
        <w:rPr>
          <w:sz w:val="22"/>
        </w:rPr>
        <w:t xml:space="preserve">CARVs, CLAD, and CMV: A Call for Heightened Awareness in Lung Transplant Recipients. </w:t>
      </w:r>
      <w:r>
        <w:rPr>
          <w:i/>
          <w:sz w:val="22"/>
        </w:rPr>
        <w:t>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[peghin2022]</w:t>
      </w:r>
    </w:p>
    <w:p>
      <w:pPr>
        <w:spacing w:after="40"/>
        <w:ind w:left="283"/>
      </w:pPr>
      <w:r>
        <w:rPr>
          <w:sz w:val="22"/>
        </w:rPr>
        <w:t>— CARVs (virus respiratorios), CLAD y CMV: necesidad de mayor consciencia en RTP. La coinfección con virus respiratorios y CMV puede acelerar la disfunción del injerto.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pertinencia de evaluar coinfecciones respiratorias en tu cohorte (donde no observas diferencias en CARVs entre grupos).</w:t>
      </w:r>
    </w:p>
    <w:p>
      <w:pPr>
        <w:keepNext/>
        <w:spacing w:before="200" w:after="40"/>
      </w:pPr>
      <w:r>
        <w:rPr>
          <w:b/>
          <w:sz w:val="22"/>
        </w:rPr>
        <w:t xml:space="preserve">Banga et al. (2025). </w:t>
      </w:r>
      <w:r>
        <w:rPr>
          <w:sz w:val="22"/>
        </w:rPr>
        <w:t xml:space="preserve">Long‐Term Outcomes Among Lung Transplant Recipients With High‐Risk Cytomegalovirus Mismatch Managed With a Multimodality Regimen. </w:t>
      </w:r>
      <w:r>
        <w:rPr>
          <w:i/>
          <w:sz w:val="22"/>
        </w:rPr>
        <w:t>Clinical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[banga2025]</w:t>
      </w:r>
    </w:p>
    <w:p>
      <w:pPr>
        <w:spacing w:after="40"/>
        <w:ind w:left="283"/>
      </w:pPr>
      <w:r>
        <w:rPr>
          <w:sz w:val="22"/>
        </w:rPr>
        <w:t>— Desenlaces a largo plazo en RTP con mismatch CMV de alto riesgo (D+/R-): mayor incidencia de DCIP, infecciones oportunistas y mortalidad atribuible.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observación de DCIP HR ajustado 2,93 para D+/R- (p=0,037) y a la mayor frecuencia de mixtos en D+/R- en tu cohorte.</w:t>
      </w:r>
    </w:p>
    <w:p>
      <w:pPr>
        <w:keepNext/>
        <w:spacing w:before="360" w:after="160"/>
      </w:pPr>
      <w:r>
        <w:rPr>
          <w:b/>
          <w:sz w:val="28"/>
        </w:rPr>
        <w:t>6.4.C — Mortalidad postrasplante pulmonar y CMV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Enfermedad CMV y mortalidad a todas las causas: </w:t>
      </w:r>
      <w:r>
        <w:rPr>
          <w:sz w:val="20"/>
        </w:rPr>
        <w:t>Beam et al.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Supervivencia post-RTP — meta-análisis: </w:t>
      </w:r>
      <w:r>
        <w:rPr>
          <w:sz w:val="20"/>
        </w:rPr>
        <w:t>Iguidbashian et al.; Jawitz et al.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DNAemia y desenlaces a largo plazo: </w:t>
      </w:r>
      <w:r>
        <w:rPr>
          <w:sz w:val="20"/>
        </w:rPr>
        <w:t>Kawashima et al.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Aclaramiento de DNAemia y mortalidad: </w:t>
      </w:r>
      <w:r>
        <w:rPr>
          <w:sz w:val="20"/>
        </w:rPr>
        <w:t>Kamar et al.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Predictores supervivencia Japón: </w:t>
      </w:r>
      <w:r>
        <w:rPr>
          <w:sz w:val="20"/>
        </w:rPr>
        <w:t>Mukai et al.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Registro internacional ISHLT: </w:t>
      </w:r>
      <w:r>
        <w:rPr>
          <w:sz w:val="20"/>
        </w:rPr>
        <w:t>Singh et al.</w:t>
      </w:r>
    </w:p>
    <w:p>
      <w:pPr>
        <w:keepNext/>
        <w:spacing w:before="200" w:after="40"/>
      </w:pPr>
      <w:r>
        <w:rPr>
          <w:b/>
          <w:sz w:val="22"/>
        </w:rPr>
        <w:t xml:space="preserve">Beam et al. (2016). </w:t>
      </w:r>
      <w:r>
        <w:rPr>
          <w:sz w:val="22"/>
        </w:rPr>
        <w:t xml:space="preserve">Cytomegalovirus disease is associated with higher all‐cause mortality after lung transplantation despite extended antiviral prophylaxis. </w:t>
      </w:r>
      <w:r>
        <w:rPr>
          <w:i/>
          <w:sz w:val="22"/>
        </w:rPr>
        <w:t>Clinical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[beam2016]</w:t>
      </w:r>
    </w:p>
    <w:p>
      <w:pPr>
        <w:spacing w:after="40"/>
        <w:ind w:left="283"/>
      </w:pPr>
      <w:r>
        <w:rPr>
          <w:sz w:val="22"/>
        </w:rPr>
        <w:t>— Enfermedad CMV asociada con mayor mortalidad por todas las causas tras RTP en cohorte de Mayo Clinic.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tu tendencia de mayor mortalidad en mixtos (HR ajustado 1,55; p=0,139). Permite discutir que la enfermedad CMV — y por extensión la replicación más prolongada — afecta mortalidad global.</w:t>
      </w:r>
    </w:p>
    <w:p>
      <w:pPr>
        <w:keepNext/>
        <w:spacing w:before="200" w:after="40"/>
      </w:pPr>
      <w:r>
        <w:rPr>
          <w:b/>
          <w:sz w:val="22"/>
        </w:rPr>
        <w:t xml:space="preserve">Iguidbashian et al. (2022). </w:t>
      </w:r>
      <w:r>
        <w:rPr>
          <w:sz w:val="22"/>
        </w:rPr>
        <w:t xml:space="preserve">Survival following lung transplantation: A population-based nested case-control study. </w:t>
      </w:r>
      <w:r>
        <w:rPr>
          <w:i/>
          <w:sz w:val="22"/>
        </w:rPr>
        <w:t>Journal of Cardiac Surgery.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[iguidbashian2022]</w:t>
      </w:r>
    </w:p>
    <w:p>
      <w:pPr>
        <w:spacing w:after="40"/>
        <w:ind w:left="283"/>
      </w:pPr>
      <w:r>
        <w:rPr>
          <w:sz w:val="22"/>
        </w:rPr>
        <w:t>— Supervivencia tras RTP: estudio caso-control anidado en cohorte poblacional. Identifica factores de riesgo modificables y no modificables.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para comparar la mortalidad observada en tu cohorte (33,6%) con datos poblacionales.</w:t>
      </w:r>
    </w:p>
    <w:p>
      <w:pPr>
        <w:keepNext/>
        <w:spacing w:before="200" w:after="40"/>
      </w:pPr>
      <w:r>
        <w:rPr>
          <w:b/>
          <w:sz w:val="22"/>
        </w:rPr>
        <w:t xml:space="preserve">Jawitz et al. (2022). </w:t>
      </w:r>
      <w:r>
        <w:rPr>
          <w:sz w:val="22"/>
        </w:rPr>
        <w:t xml:space="preserve">Factors Associated with Short vs Long Term Survival Following Lung Transplant. </w:t>
      </w:r>
      <w:r>
        <w:rPr>
          <w:i/>
          <w:sz w:val="22"/>
        </w:rPr>
        <w:t>The Journal of thoracic and cardiovascular surgery.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[jawitz2022a]</w:t>
      </w:r>
    </w:p>
    <w:p>
      <w:pPr>
        <w:spacing w:after="40"/>
        <w:ind w:left="283"/>
      </w:pPr>
      <w:r>
        <w:rPr>
          <w:sz w:val="22"/>
        </w:rPr>
        <w:t>— Factores asociados con supervivencia corto vs largo plazo tras RTP: identifica determinantes en grandes registros.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Permite citar que tu mortalidad observada se enmarca en los rangos descritos.</w:t>
      </w:r>
    </w:p>
    <w:p>
      <w:pPr>
        <w:keepNext/>
        <w:spacing w:before="200" w:after="40"/>
      </w:pPr>
      <w:r>
        <w:rPr>
          <w:b/>
          <w:sz w:val="22"/>
        </w:rPr>
        <w:t xml:space="preserve">Kawashima et al. (2024). </w:t>
      </w:r>
      <w:r>
        <w:rPr>
          <w:sz w:val="22"/>
        </w:rPr>
        <w:t xml:space="preserve">Association between cytomegalovirus viremia and long-term outcomes in lung transplant recipients.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[kawashima2024a]</w:t>
      </w:r>
    </w:p>
    <w:p>
      <w:pPr>
        <w:spacing w:after="40"/>
        <w:ind w:left="283"/>
      </w:pPr>
      <w:r>
        <w:rPr>
          <w:sz w:val="22"/>
        </w:rPr>
        <w:t>— Asociación entre DNAemia CMV y desenlaces a largo plazo en RTP: la replicación recurrente es marcador de peor pronóstico.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tu observación de mayor número de DNAemias en mixtos.</w:t>
      </w:r>
    </w:p>
    <w:p>
      <w:pPr>
        <w:keepNext/>
        <w:spacing w:before="200" w:after="40"/>
      </w:pPr>
      <w:r>
        <w:rPr>
          <w:b/>
          <w:sz w:val="22"/>
        </w:rPr>
        <w:t xml:space="preserve">Kamar et al. (2025). </w:t>
      </w:r>
      <w:r>
        <w:rPr>
          <w:sz w:val="22"/>
        </w:rPr>
        <w:t xml:space="preserve">Association Between Cytomegalovirus Viremia Clearance and Post-Solid Organ Transplant Mortality in Patients With Refractory Cytomegalovirus Infection: SOLSTICE Post Hoc Analysis. </w:t>
      </w:r>
      <w:r>
        <w:rPr>
          <w:i/>
          <w:sz w:val="22"/>
        </w:rPr>
        <w:t>Transplant International.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[kamar2025]</w:t>
      </w:r>
    </w:p>
    <w:p>
      <w:pPr>
        <w:spacing w:after="40"/>
        <w:ind w:left="283"/>
      </w:pPr>
      <w:r>
        <w:rPr>
          <w:sz w:val="22"/>
        </w:rPr>
        <w:t>— Asociación entre aclaramiento de la DNAemia CMV y mortalidad postrasplante: pacientes con aclaramiento más rápido presentan menor mortalidad.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 la relevancia clínica de tu hallazgo de aclaramiento más prolongado en mixtos.</w:t>
      </w:r>
    </w:p>
    <w:p>
      <w:pPr>
        <w:keepNext/>
        <w:spacing w:before="200" w:after="40"/>
      </w:pPr>
      <w:r>
        <w:rPr>
          <w:b/>
          <w:sz w:val="22"/>
        </w:rPr>
        <w:t xml:space="preserve">Mukai et al. (2025). </w:t>
      </w:r>
      <w:r>
        <w:rPr>
          <w:sz w:val="22"/>
        </w:rPr>
        <w:t xml:space="preserve">Key predictors of long-term survival after lung transplantation in Japan. </w:t>
      </w:r>
      <w:r>
        <w:rPr>
          <w:i/>
          <w:sz w:val="22"/>
        </w:rPr>
        <w:t>Respiratory Investigation.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[mukai2025]</w:t>
      </w:r>
    </w:p>
    <w:p>
      <w:pPr>
        <w:spacing w:after="40"/>
        <w:ind w:left="283"/>
      </w:pPr>
      <w:r>
        <w:rPr>
          <w:sz w:val="22"/>
        </w:rPr>
        <w:t>— Predictores de supervivencia a largo plazo tras RTP en Japón: identifica el control de CMV como factor pronóstico.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comparativa internacional.</w:t>
      </w:r>
    </w:p>
    <w:p>
      <w:pPr>
        <w:keepNext/>
        <w:spacing w:before="200" w:after="40"/>
      </w:pPr>
      <w:r>
        <w:rPr>
          <w:b/>
          <w:sz w:val="22"/>
        </w:rPr>
        <w:t xml:space="preserve">Singh et al. (2025). </w:t>
      </w:r>
      <w:r>
        <w:rPr>
          <w:sz w:val="22"/>
        </w:rPr>
        <w:t xml:space="preserve">The International Thoracic Organ Transplant Registry of the International Society for Heart and Lung Transplantation: 2025 Annual Report of Heart and Lung Transplantation. </w:t>
      </w:r>
      <w:r>
        <w:rPr>
          <w:i/>
          <w:sz w:val="22"/>
        </w:rPr>
        <w:t>The Journal of Heart and Lung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[singh2025]</w:t>
      </w:r>
    </w:p>
    <w:p>
      <w:pPr>
        <w:spacing w:after="40"/>
        <w:ind w:left="283"/>
      </w:pPr>
      <w:r>
        <w:rPr>
          <w:sz w:val="22"/>
        </w:rPr>
        <w:t>— Registro internacional ISHLT de trasplante torácico: datos epidemiológicos actualizados con supervivencia y causas de muerte.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para enmarcar la mortalidad y las causas en tu cohorte.</w:t>
      </w:r>
    </w:p>
    <w:p>
      <w:pPr>
        <w:keepNext/>
        <w:spacing w:before="360" w:after="160"/>
      </w:pPr>
      <w:r>
        <w:rPr>
          <w:b/>
          <w:sz w:val="28"/>
        </w:rPr>
        <w:t>6.4.D — CMV y neoplasias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2004-2009 </w:t>
      </w:r>
      <w:r>
        <w:rPr>
          <w:b/>
          <w:i/>
          <w:sz w:val="20"/>
        </w:rPr>
        <w:t xml:space="preserve">— Onco-modulación: </w:t>
      </w:r>
      <w:r>
        <w:rPr>
          <w:sz w:val="20"/>
        </w:rPr>
        <w:t>Cinatl et al.; Michaelis et al. — papel de CMV en oncomodulación.</w:t>
      </w:r>
    </w:p>
    <w:p>
      <w:pPr>
        <w:spacing w:after="40"/>
        <w:ind w:left="283"/>
      </w:pPr>
      <w:r>
        <w:rPr>
          <w:b/>
          <w:sz w:val="20"/>
        </w:rPr>
        <w:t xml:space="preserve">2015-2017 </w:t>
      </w:r>
      <w:r>
        <w:rPr>
          <w:b/>
          <w:i/>
          <w:sz w:val="20"/>
        </w:rPr>
        <w:t xml:space="preserve">— Mortalidad y cáncer post-TOS: </w:t>
      </w:r>
      <w:r>
        <w:rPr>
          <w:sz w:val="20"/>
        </w:rPr>
        <w:t>Desai et al.; Wong et al. — riesgo y HLA.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Cáncer post-RTP — Berástegui: </w:t>
      </w:r>
      <w:r>
        <w:rPr>
          <w:sz w:val="20"/>
        </w:rPr>
        <w:t>Berástegui et al. — OR 2,41 para CMV; estudio español de RTP.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Malignancias post-RTP: </w:t>
      </w:r>
      <w:r>
        <w:rPr>
          <w:sz w:val="20"/>
        </w:rPr>
        <w:t>Magruder et al.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Cáncer pulmonar post-RTP: </w:t>
      </w:r>
      <w:r>
        <w:rPr>
          <w:sz w:val="20"/>
        </w:rPr>
        <w:t>Triplette et al.</w:t>
      </w:r>
    </w:p>
    <w:p>
      <w:pPr>
        <w:spacing w:after="40"/>
        <w:ind w:left="283"/>
      </w:pPr>
      <w:r>
        <w:rPr>
          <w:b/>
          <w:sz w:val="20"/>
        </w:rPr>
        <w:t xml:space="preserve">2021 </w:t>
      </w:r>
      <w:r>
        <w:rPr>
          <w:b/>
          <w:i/>
          <w:sz w:val="20"/>
        </w:rPr>
        <w:t xml:space="preserve">— Inmunoescape en cáncer: </w:t>
      </w:r>
      <w:r>
        <w:rPr>
          <w:sz w:val="20"/>
        </w:rPr>
        <w:t>Elbaba et al.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Cáncer post-TOS — meta-análisis: </w:t>
      </w:r>
      <w:r>
        <w:rPr>
          <w:sz w:val="20"/>
        </w:rPr>
        <w:t>Geris et al.</w:t>
      </w:r>
    </w:p>
    <w:p>
      <w:pPr>
        <w:spacing w:after="40"/>
        <w:ind w:left="283"/>
      </w:pPr>
      <w:r>
        <w:rPr>
          <w:b/>
          <w:sz w:val="20"/>
        </w:rPr>
        <w:t xml:space="preserve">2023-2024 </w:t>
      </w:r>
      <w:r>
        <w:rPr>
          <w:b/>
          <w:i/>
          <w:sz w:val="20"/>
        </w:rPr>
        <w:t xml:space="preserve">— Hematopoyesis clonal y daño DNA: </w:t>
      </w:r>
      <w:r>
        <w:rPr>
          <w:sz w:val="20"/>
        </w:rPr>
        <w:t>Tague et al.; Silver et al.</w:t>
      </w:r>
    </w:p>
    <w:p>
      <w:pPr>
        <w:keepNext/>
        <w:spacing w:before="200" w:after="40"/>
      </w:pPr>
      <w:r>
        <w:rPr>
          <w:b/>
          <w:sz w:val="22"/>
        </w:rPr>
        <w:t xml:space="preserve">Cinatl et al. (2004). </w:t>
      </w:r>
      <w:r>
        <w:rPr>
          <w:sz w:val="22"/>
        </w:rPr>
        <w:t xml:space="preserve">Oncomodulatory signals by regulatory proteins encoded by human cytomegalovirus: a novel role for viral infection in tumor progression. </w:t>
      </w:r>
      <w:r>
        <w:rPr>
          <w:i/>
          <w:sz w:val="22"/>
        </w:rPr>
        <w:t>FEMS Microbiology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[cinatl2004]</w:t>
      </w:r>
    </w:p>
    <w:p>
      <w:pPr>
        <w:spacing w:after="40"/>
        <w:ind w:left="283"/>
      </w:pPr>
      <w:r>
        <w:rPr>
          <w:sz w:val="22"/>
        </w:rPr>
        <w:t>— Señales onco-moduladoras de proteínas regulatorias codificadas por HCMV: posible papel del virus en la modulación tumoral más que en la transformación directa.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asociación neoplasia-mixtos observada en tu cohorte: replicación más prolongada y exposición acumulada podrían facilitar el ambiente pro-tumoral.</w:t>
      </w:r>
    </w:p>
    <w:p>
      <w:pPr>
        <w:keepNext/>
        <w:spacing w:before="200" w:after="40"/>
      </w:pPr>
      <w:r>
        <w:rPr>
          <w:b/>
          <w:sz w:val="22"/>
        </w:rPr>
        <w:t xml:space="preserve">Michaelis et al. (2009). </w:t>
      </w:r>
      <w:r>
        <w:rPr>
          <w:sz w:val="22"/>
        </w:rPr>
        <w:t xml:space="preserve">The Story of Human Cytomegalovirus and Cancer: Increasing Evidence and Open Questions. </w:t>
      </w:r>
      <w:r>
        <w:rPr>
          <w:i/>
          <w:sz w:val="22"/>
        </w:rPr>
        <w:t>Neoplasia.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[michaelis2009]</w:t>
      </w:r>
    </w:p>
    <w:p>
      <w:pPr>
        <w:spacing w:after="40"/>
        <w:ind w:left="283"/>
      </w:pPr>
      <w:r>
        <w:rPr>
          <w:sz w:val="22"/>
        </w:rPr>
        <w:t>— ‘The story of HCMV and cancer’: revisión de la evidencia creciente del papel modulador del virus en distintos tipos tumorales.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 para contextualizar.</w:t>
      </w:r>
    </w:p>
    <w:p>
      <w:pPr>
        <w:keepNext/>
        <w:spacing w:before="200" w:after="40"/>
      </w:pPr>
      <w:r>
        <w:rPr>
          <w:b/>
          <w:sz w:val="22"/>
        </w:rPr>
        <w:t xml:space="preserve">Desai et al. (2015). </w:t>
      </w:r>
      <w:r>
        <w:rPr>
          <w:sz w:val="22"/>
        </w:rPr>
        <w:t xml:space="preserve">Impact of Cytomegalovirus on Long-term Mortality and Cancer Risk After Organ Transplantation. </w:t>
      </w:r>
      <w:r>
        <w:rPr>
          <w:i/>
          <w:sz w:val="22"/>
        </w:rPr>
        <w:t>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[desai2015]</w:t>
      </w:r>
    </w:p>
    <w:p>
      <w:pPr>
        <w:spacing w:after="40"/>
        <w:ind w:left="283"/>
      </w:pPr>
      <w:r>
        <w:rPr>
          <w:sz w:val="22"/>
        </w:rPr>
        <w:t>— Impacto de CMV sobre mortalidad a largo plazo y riesgo de cáncer tras trasplante de órganos: asociaciones de magnitud moderada con tumores específicos.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tu hallazgo de HR ajustado 2,86 para tumores sólidos no cutáneos en mixtos.</w:t>
      </w:r>
    </w:p>
    <w:p>
      <w:pPr>
        <w:keepNext/>
        <w:spacing w:before="200" w:after="40"/>
      </w:pPr>
      <w:r>
        <w:rPr>
          <w:b/>
          <w:sz w:val="22"/>
        </w:rPr>
        <w:t xml:space="preserve">Wong et al. (2017). </w:t>
      </w:r>
      <w:r>
        <w:rPr>
          <w:sz w:val="22"/>
        </w:rPr>
        <w:t xml:space="preserve">Cytomegalovirus and cancer after kidney transplantation: Role of the human leukocyte antigen system?.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[wong2017]</w:t>
      </w:r>
    </w:p>
    <w:p>
      <w:pPr>
        <w:spacing w:after="40"/>
        <w:ind w:left="283"/>
      </w:pPr>
      <w:r>
        <w:rPr>
          <w:sz w:val="22"/>
        </w:rPr>
        <w:t>— CMV y cáncer tras trasplante renal: el papel del HLA puede modular la asociación. Pacientes con haplotipos HLA específicos presentan mayor susceptibilidad.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heterogeneidad biológica del riesgo: en tu cohorte, la asociación neoplasia-mixtos pudiera estar mediada por factores HLA no medidos.</w:t>
      </w:r>
    </w:p>
    <w:p>
      <w:pPr>
        <w:keepNext/>
        <w:spacing w:before="200" w:after="40"/>
      </w:pPr>
      <w:r>
        <w:rPr>
          <w:b/>
          <w:sz w:val="22"/>
        </w:rPr>
        <w:t xml:space="preserve">Berastegui et al. (2017). </w:t>
      </w:r>
      <w:r>
        <w:rPr>
          <w:sz w:val="22"/>
        </w:rPr>
        <w:t xml:space="preserve">Epidemiology and Risk Factors for Cancer After Lung Transplantation. </w:t>
      </w:r>
      <w:r>
        <w:rPr>
          <w:i/>
          <w:sz w:val="22"/>
        </w:rPr>
        <w:t>Transplantation Proceedings.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[berastegui2017]</w:t>
      </w:r>
    </w:p>
    <w:p>
      <w:pPr>
        <w:spacing w:after="40"/>
        <w:ind w:left="283"/>
      </w:pPr>
      <w:r>
        <w:rPr>
          <w:sz w:val="22"/>
        </w:rPr>
        <w:t>— Cohorte española de RTP: epidemiología y factores de riesgo de cáncer post-RTP.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 de población española. Cita junto con berastegui2017a.</w:t>
      </w:r>
    </w:p>
    <w:p>
      <w:pPr>
        <w:keepNext/>
        <w:spacing w:before="200" w:after="40"/>
      </w:pPr>
      <w:r>
        <w:rPr>
          <w:b/>
          <w:sz w:val="22"/>
        </w:rPr>
        <w:t xml:space="preserve">Berastegui et al. (2017). </w:t>
      </w:r>
      <w:r>
        <w:rPr>
          <w:sz w:val="22"/>
        </w:rPr>
        <w:t xml:space="preserve">Epidemiology and Risk Factors for Cancer After Lung Transplantation. </w:t>
      </w:r>
      <w:r>
        <w:rPr>
          <w:i/>
          <w:sz w:val="22"/>
        </w:rPr>
        <w:t>Transplantation Proceedings.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[berastegui2017a]</w:t>
      </w:r>
    </w:p>
    <w:p>
      <w:pPr>
        <w:spacing w:after="40"/>
        <w:ind w:left="283"/>
      </w:pPr>
      <w:r>
        <w:rPr>
          <w:sz w:val="22"/>
        </w:rPr>
        <w:t>— Detalle ampliado del estudio Berástegui 2017: la presencia de DNAemia CMV durante el seguimiento se asoció con un OR ajustado 2,41 para neoplasias en RTP españoles.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CIFRA OR=2,41 verificada (no inflada). Permite citar como referencia comparativa directa para tu HR ajustado 2,86 (1,15-7,11; p=0,024) para tumores sólidos no cutáneos en mixtos. Confirmación de la línea de asociación en RTP españoles.</w:t>
      </w:r>
    </w:p>
    <w:p>
      <w:pPr>
        <w:keepNext/>
        <w:spacing w:before="200" w:after="40"/>
      </w:pPr>
      <w:r>
        <w:rPr>
          <w:b/>
          <w:sz w:val="22"/>
        </w:rPr>
        <w:t xml:space="preserve">Magruder et al. (2017). </w:t>
      </w:r>
      <w:r>
        <w:rPr>
          <w:sz w:val="22"/>
        </w:rPr>
        <w:t xml:space="preserve">Risk Factors for De Novo Malignancy Following Lung Transplantation.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[magruder2017]</w:t>
      </w:r>
    </w:p>
    <w:p>
      <w:pPr>
        <w:spacing w:after="40"/>
        <w:ind w:left="283"/>
      </w:pPr>
      <w:r>
        <w:rPr>
          <w:sz w:val="22"/>
        </w:rPr>
        <w:t>— Factores de riesgo de malignancia de novo tras RTP: incluyen serología CMV D+/R-, edad, inmunosupresión.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Triplette et al. (2019). </w:t>
      </w:r>
      <w:r>
        <w:rPr>
          <w:sz w:val="22"/>
        </w:rPr>
        <w:t xml:space="preserve">Risk of lung cancer in lung transplant recipients in the United States.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[triplette2019]</w:t>
      </w:r>
    </w:p>
    <w:p>
      <w:pPr>
        <w:spacing w:after="40"/>
        <w:ind w:left="283"/>
      </w:pPr>
      <w:r>
        <w:rPr>
          <w:sz w:val="22"/>
        </w:rPr>
        <w:t>— Riesgo de cáncer pulmonar en RTP en EE. UU.: incidencia significativamente mayor que en población general.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Permite contextualizar los 8 carcinomas pulmonares descritos individualmente en tu Tabla R12.</w:t>
      </w:r>
    </w:p>
    <w:p>
      <w:pPr>
        <w:keepNext/>
        <w:spacing w:before="200" w:after="40"/>
      </w:pPr>
      <w:r>
        <w:rPr>
          <w:b/>
          <w:sz w:val="22"/>
        </w:rPr>
        <w:t xml:space="preserve">El Baba y Herbein (2021). </w:t>
      </w:r>
      <w:r>
        <w:rPr>
          <w:sz w:val="22"/>
        </w:rPr>
        <w:t xml:space="preserve">Immune Landscape of CMV Infection in Cancer Patients: From “Canonical” Diseases Toward Virus-Elicited Oncomodulation. </w:t>
      </w:r>
      <w:r>
        <w:rPr>
          <w:i/>
          <w:sz w:val="22"/>
        </w:rPr>
        <w:t>Frontiers in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[elbaba2021]</w:t>
      </w:r>
    </w:p>
    <w:p>
      <w:pPr>
        <w:spacing w:after="40"/>
        <w:ind w:left="283"/>
      </w:pPr>
      <w:r>
        <w:rPr>
          <w:sz w:val="22"/>
        </w:rPr>
        <w:t>— Panorama inmunológico de la infección CMV en pacientes con cáncer: desde enfermedades canónicas hacia escape inmunológico tumor-asociado mediado por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noción de que la replicación crónica/recurrente de CMV puede facilitar el escape inmunológico tumoral.</w:t>
      </w:r>
    </w:p>
    <w:p>
      <w:pPr>
        <w:keepNext/>
        <w:spacing w:before="200" w:after="40"/>
      </w:pPr>
      <w:r>
        <w:rPr>
          <w:b/>
          <w:sz w:val="22"/>
        </w:rPr>
        <w:t xml:space="preserve">Geris et al. (2022). </w:t>
      </w:r>
      <w:r>
        <w:rPr>
          <w:sz w:val="22"/>
        </w:rPr>
        <w:t xml:space="preserve">Cancer risk associated with cytomegalovirus infection among solid organ transplant recipients in the United States. </w:t>
      </w:r>
      <w:r>
        <w:rPr>
          <w:i/>
          <w:sz w:val="22"/>
        </w:rPr>
        <w:t>Cancer.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[geris2022]</w:t>
      </w:r>
    </w:p>
    <w:p>
      <w:pPr>
        <w:spacing w:after="40"/>
        <w:ind w:left="283"/>
      </w:pPr>
      <w:r>
        <w:rPr>
          <w:sz w:val="22"/>
        </w:rPr>
        <w:t>— Riesgo de cáncer asociado con infección CMV en TOS: meta-análisis con asociación significativa para varios tipos tumorales.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cuantitativo. Comparable con tu HR ajustado 2,86.</w:t>
      </w:r>
    </w:p>
    <w:p>
      <w:pPr>
        <w:keepNext/>
        <w:spacing w:before="200" w:after="40"/>
      </w:pPr>
      <w:r>
        <w:rPr>
          <w:b/>
          <w:sz w:val="22"/>
        </w:rPr>
        <w:t xml:space="preserve">Tague et al. (2023). </w:t>
      </w:r>
      <w:r>
        <w:rPr>
          <w:sz w:val="22"/>
        </w:rPr>
        <w:t xml:space="preserve">Increased clonal hematopoiesis involving DNA damage response genes in patients undergoing lung transplantation. </w:t>
      </w:r>
      <w:r>
        <w:rPr>
          <w:i/>
          <w:sz w:val="22"/>
        </w:rPr>
        <w:t>JCI Insight.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[tague2023]</w:t>
      </w:r>
    </w:p>
    <w:p>
      <w:pPr>
        <w:spacing w:after="40"/>
        <w:ind w:left="283"/>
      </w:pPr>
      <w:r>
        <w:rPr>
          <w:sz w:val="22"/>
        </w:rPr>
        <w:t>— Aumento de hematopoyesis clonal con genes de respuesta al daño del DNA en pacientes que se someten a trasplante.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idea de que la inmunosupresión y la replicación viral pueden facilitar la selección de clones hematopoyéticos.</w:t>
      </w:r>
    </w:p>
    <w:p>
      <w:pPr>
        <w:keepNext/>
        <w:spacing w:before="200" w:after="40"/>
      </w:pPr>
      <w:r>
        <w:rPr>
          <w:b/>
          <w:sz w:val="22"/>
        </w:rPr>
        <w:t xml:space="preserve">Silver et al. (2024). </w:t>
      </w:r>
      <w:r>
        <w:rPr>
          <w:sz w:val="22"/>
        </w:rPr>
        <w:t xml:space="preserve">Solid Organ Transplant Recipients Exhibit More &lt;i&gt;TET2&lt;/i&gt; -Mutant Clonal Hematopoiesis of Indeterminate Potential Not Driven by Increased Transplantation Risk. </w:t>
      </w:r>
      <w:r>
        <w:rPr>
          <w:i/>
          <w:sz w:val="22"/>
        </w:rPr>
        <w:t>Clinical Cancer Research.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[silver2024]</w:t>
      </w:r>
    </w:p>
    <w:p>
      <w:pPr>
        <w:spacing w:after="40"/>
        <w:ind w:left="283"/>
      </w:pPr>
      <w:r>
        <w:rPr>
          <w:sz w:val="22"/>
        </w:rPr>
        <w:t>— Receptores de TOS muestran más hematopoyesis clonal con TET2 que controles: la inmunosupresión post-trasplante facilita la expansión clonal.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360" w:after="160"/>
      </w:pPr>
      <w:r>
        <w:rPr>
          <w:b/>
          <w:sz w:val="28"/>
        </w:rPr>
        <w:t>6.4.E — Infecciones oportunistas no-CMV en RTP</w:t>
      </w:r>
    </w:p>
    <w:p>
      <w:pPr>
        <w:keepNext/>
        <w:spacing w:before="200" w:after="40"/>
      </w:pPr>
      <w:r>
        <w:rPr>
          <w:b/>
          <w:sz w:val="22"/>
        </w:rPr>
        <w:t xml:space="preserve">Peghin et al. (2017). </w:t>
      </w:r>
      <w:r>
        <w:rPr>
          <w:sz w:val="22"/>
        </w:rPr>
        <w:t xml:space="preserve">Epidemiology and Immediate Indirect Effects of Respiratory Viruses in Lung Transplant Recipients: A 5-Year Prospective Study.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[peghin2017]</w:t>
      </w:r>
    </w:p>
    <w:p>
      <w:pPr>
        <w:spacing w:after="40"/>
        <w:ind w:left="283"/>
      </w:pPr>
      <w:r>
        <w:rPr>
          <w:sz w:val="22"/>
        </w:rPr>
        <w:t>— Epidemiología y efectos indirectos inmediatos de virus respiratorios en RTP: modulación de la inmunidad y aumento de la susceptibilidad a coinfecciones.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tu análisis de coinfecciones respiratorias.</w:t>
      </w:r>
    </w:p>
    <w:p>
      <w:pPr>
        <w:keepNext/>
        <w:spacing w:before="200" w:after="40"/>
      </w:pPr>
      <w:r>
        <w:rPr>
          <w:b/>
          <w:sz w:val="22"/>
        </w:rPr>
        <w:t xml:space="preserve">Lum y Koval (2024). </w:t>
      </w:r>
      <w:r>
        <w:rPr>
          <w:sz w:val="22"/>
        </w:rPr>
        <w:t xml:space="preserve">The changing landscape of infections in the lung transplant recipient. </w:t>
      </w:r>
      <w:r>
        <w:rPr>
          <w:i/>
          <w:sz w:val="22"/>
        </w:rPr>
        <w:t>Current Opinion in Pulmonary Medicine.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[lum2024]</w:t>
      </w:r>
    </w:p>
    <w:p>
      <w:pPr>
        <w:spacing w:after="40"/>
        <w:ind w:left="283"/>
      </w:pPr>
      <w:r>
        <w:rPr>
          <w:sz w:val="22"/>
        </w:rPr>
        <w:t>— Panorama cambiante de las infecciones en RTP: mayor incidencia de infecciones por virus emergentes; manejo profiláctico ajustado.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reciente para contextualizar la epidemiología infecciosa de tu cohorte.</w:t>
      </w:r>
    </w:p>
    <w:p>
      <w:pPr>
        <w:keepNext/>
        <w:spacing w:before="200" w:after="40"/>
      </w:pPr>
      <w:r>
        <w:rPr>
          <w:b/>
          <w:sz w:val="22"/>
        </w:rPr>
        <w:t xml:space="preserve">Heldman et al. (2025). </w:t>
      </w:r>
      <w:r>
        <w:rPr>
          <w:sz w:val="22"/>
        </w:rPr>
        <w:t xml:space="preserve">Epidemiology of Infections in Lung Transplant Recipients Treated With Belatacept.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[heldman2025]</w:t>
      </w:r>
    </w:p>
    <w:p>
      <w:pPr>
        <w:spacing w:after="40"/>
        <w:ind w:left="283"/>
      </w:pPr>
      <w:r>
        <w:rPr>
          <w:sz w:val="22"/>
        </w:rPr>
        <w:t>— Epidemiología de infecciones en RTP tratados con belatacept: perfil distinto al de tacrolimus.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Referencia adicional sobre infecciones en RTP.</w:t>
      </w:r>
    </w:p>
    <w:p>
      <w:pPr>
        <w:keepNext/>
        <w:spacing w:before="360" w:after="160"/>
      </w:pPr>
      <w:r>
        <w:rPr>
          <w:b/>
          <w:sz w:val="28"/>
        </w:rPr>
        <w:t>6.4.F — Efectos indirectos del CMV</w:t>
      </w:r>
    </w:p>
    <w:p>
      <w:pPr>
        <w:keepNext/>
        <w:spacing w:before="200" w:after="40"/>
      </w:pPr>
      <w:r>
        <w:rPr>
          <w:b/>
          <w:sz w:val="22"/>
        </w:rPr>
        <w:t xml:space="preserve">San-Juan et al. (2013). </w:t>
      </w:r>
      <w:r>
        <w:rPr>
          <w:sz w:val="22"/>
        </w:rPr>
        <w:t xml:space="preserve">Limited impact of cytomegalovirus infection in the long-term outcome of renal and liver transplant.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[san-juan2013a]</w:t>
      </w:r>
    </w:p>
    <w:p>
      <w:pPr>
        <w:spacing w:after="40"/>
        <w:ind w:left="283"/>
      </w:pPr>
      <w:r>
        <w:rPr>
          <w:sz w:val="22"/>
        </w:rPr>
        <w:t>— Impacto limitado de la infección CMV en el desenlace a largo plazo de TR/TH en cohorte española: la asociación con mortalidad y rechazo crónico es modesta y depende de tipo de órgano.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interpretación de que el efecto del CMV sobre desenlaces es heterogéneo y puede requerir gran tamaño muestral o larga duración para emerger.</w:t>
      </w:r>
    </w:p>
    <w:p>
      <w:pPr>
        <w:keepNext/>
        <w:spacing w:before="200" w:after="40"/>
      </w:pPr>
      <w:r>
        <w:rPr>
          <w:b/>
          <w:sz w:val="22"/>
        </w:rPr>
        <w:t xml:space="preserve">Sequeira Lopes Da Silva (2016). </w:t>
      </w:r>
      <w:r>
        <w:rPr>
          <w:sz w:val="22"/>
        </w:rPr>
        <w:t xml:space="preserve">Monitorización periódica de la carga viral de virus de epstein-barr en sangre como marcador del grado de inmunosupresión y del riesgo de infección en portadores de trasplante de pulmón.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[sequeiralopesdasilva2016]</w:t>
      </w:r>
    </w:p>
    <w:p>
      <w:pPr>
        <w:spacing w:after="40"/>
        <w:ind w:left="283"/>
      </w:pPr>
      <w:r>
        <w:rPr>
          <w:sz w:val="22"/>
        </w:rPr>
        <w:t>— Monitorización periódica de CV de EBV como marcador de inmunosupresión global: la replicación viral global refleja el grado de inmunosupresión.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conceptual: la replicación CMV recurrente es marcador de inmunosupresión global, lo que conecta con la asociación con neoplasias y mortalidad.</w:t>
      </w:r>
    </w:p>
    <w:p>
      <w:pPr>
        <w:keepNext/>
        <w:spacing w:before="480" w:after="240"/>
      </w:pPr>
      <w:r>
        <w:rPr>
          <w:b/>
          <w:sz w:val="36"/>
        </w:rPr>
        <w:t>Apartado 6.5 — Inmunidad celular específica anti-CMV</w:t>
      </w:r>
    </w:p>
    <w:p>
      <w:pPr>
        <w:spacing w:after="120"/>
      </w:pPr>
      <w:r>
        <w:rPr>
          <w:b w:val="0"/>
          <w:i w:val="0"/>
          <w:sz w:val="22"/>
        </w:rPr>
        <w:t>Esta sección agrupa la literatura sobre la respuesta inmune celular específica frente a CMV: ensayos CMI, biomarcadores T-bet/Eomes, papel de CD8+ TEMRA, KIRs y firmas inmunes predictivas.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2007 </w:t>
      </w:r>
      <w:r>
        <w:rPr>
          <w:b/>
          <w:i/>
          <w:sz w:val="20"/>
        </w:rPr>
        <w:t xml:space="preserve">— UL18 y receptores tipo Ig: </w:t>
      </w:r>
      <w:r>
        <w:rPr>
          <w:sz w:val="20"/>
        </w:rPr>
        <w:t>Wagner et al. — UL18 modula respuesta NK.</w:t>
      </w:r>
    </w:p>
    <w:p>
      <w:pPr>
        <w:spacing w:after="40"/>
        <w:ind w:left="283"/>
      </w:pPr>
      <w:r>
        <w:rPr>
          <w:b/>
          <w:sz w:val="20"/>
        </w:rPr>
        <w:t xml:space="preserve">2011 </w:t>
      </w:r>
      <w:r>
        <w:rPr>
          <w:b/>
          <w:i/>
          <w:sz w:val="20"/>
        </w:rPr>
        <w:t xml:space="preserve">— Respuesta CD8+ pp65 y T-bet en RTP: </w:t>
      </w:r>
      <w:r>
        <w:rPr>
          <w:sz w:val="20"/>
        </w:rPr>
        <w:t>Pipeling et al.</w:t>
      </w:r>
    </w:p>
    <w:p>
      <w:pPr>
        <w:spacing w:after="40"/>
        <w:ind w:left="283"/>
      </w:pPr>
      <w:r>
        <w:rPr>
          <w:b/>
          <w:sz w:val="20"/>
        </w:rPr>
        <w:t xml:space="preserve">2013 </w:t>
      </w:r>
      <w:r>
        <w:rPr>
          <w:b/>
          <w:i/>
          <w:sz w:val="20"/>
        </w:rPr>
        <w:t xml:space="preserve">— CMI predictiva en TOS: </w:t>
      </w:r>
      <w:r>
        <w:rPr>
          <w:sz w:val="20"/>
        </w:rPr>
        <w:t>Manuel et al. — utilidad CMI para predecir enfermedad.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T-bet:Eomes y CD8+ específicos: </w:t>
      </w:r>
      <w:r>
        <w:rPr>
          <w:sz w:val="20"/>
        </w:rPr>
        <w:t>Popescu et al.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TCR cross-reactividad: </w:t>
      </w:r>
      <w:r>
        <w:rPr>
          <w:sz w:val="20"/>
        </w:rPr>
        <w:t>Nguyen et al.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KIRs en RTP: </w:t>
      </w:r>
      <w:r>
        <w:rPr>
          <w:sz w:val="20"/>
        </w:rPr>
        <w:t>Derham et al.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Firma polifuncional protectora: </w:t>
      </w:r>
      <w:r>
        <w:rPr>
          <w:sz w:val="20"/>
        </w:rPr>
        <w:t>Snyder et al.</w:t>
      </w:r>
    </w:p>
    <w:p>
      <w:pPr>
        <w:spacing w:after="40"/>
        <w:ind w:left="283"/>
      </w:pPr>
      <w:r>
        <w:rPr>
          <w:b/>
          <w:sz w:val="20"/>
        </w:rPr>
        <w:t xml:space="preserve">2016 </w:t>
      </w:r>
      <w:r>
        <w:rPr>
          <w:b/>
          <w:i/>
          <w:sz w:val="20"/>
        </w:rPr>
        <w:t xml:space="preserve">— CD4+ específicos y T-bet: </w:t>
      </w:r>
      <w:r>
        <w:rPr>
          <w:sz w:val="20"/>
        </w:rPr>
        <w:t>Popescu et al.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Más allá de la serología — estratificación: </w:t>
      </w:r>
      <w:r>
        <w:rPr>
          <w:sz w:val="20"/>
        </w:rPr>
        <w:t>Navarro et al.</w:t>
      </w:r>
    </w:p>
    <w:p>
      <w:pPr>
        <w:spacing w:after="40"/>
        <w:ind w:left="283"/>
      </w:pPr>
      <w:r>
        <w:rPr>
          <w:b/>
          <w:sz w:val="20"/>
        </w:rPr>
        <w:t xml:space="preserve">2022 </w:t>
      </w:r>
      <w:r>
        <w:rPr>
          <w:b/>
          <w:i/>
          <w:sz w:val="20"/>
        </w:rPr>
        <w:t xml:space="preserve">— CMI assays: </w:t>
      </w:r>
      <w:r>
        <w:rPr>
          <w:sz w:val="20"/>
        </w:rPr>
        <w:t>Hall et al. — utilidad clínica.</w:t>
      </w:r>
    </w:p>
    <w:p>
      <w:pPr>
        <w:spacing w:after="40"/>
        <w:ind w:left="283"/>
      </w:pPr>
      <w:r>
        <w:rPr>
          <w:b/>
          <w:sz w:val="20"/>
        </w:rPr>
        <w:t xml:space="preserve">2023-2025 </w:t>
      </w:r>
      <w:r>
        <w:rPr>
          <w:b/>
          <w:i/>
          <w:sz w:val="20"/>
        </w:rPr>
        <w:t xml:space="preserve">— CMI clínica avanzada: </w:t>
      </w:r>
      <w:r>
        <w:rPr>
          <w:sz w:val="20"/>
        </w:rPr>
        <w:t>Dioverti; Pickering; Boada-Pérez.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Score epigenético: </w:t>
      </w:r>
      <w:r>
        <w:rPr>
          <w:sz w:val="20"/>
        </w:rPr>
        <w:t>Hsu et al. — predicción de viremia.</w:t>
      </w:r>
    </w:p>
    <w:p>
      <w:pPr>
        <w:spacing w:after="40"/>
        <w:ind w:left="283"/>
      </w:pPr>
      <w:r>
        <w:rPr>
          <w:b/>
          <w:sz w:val="20"/>
        </w:rPr>
        <w:t xml:space="preserve">2026 </w:t>
      </w:r>
      <w:r>
        <w:rPr>
          <w:b/>
          <w:i/>
          <w:sz w:val="20"/>
        </w:rPr>
        <w:t xml:space="preserve">— CMI en TOS — retos y oportunidades: </w:t>
      </w:r>
      <w:r>
        <w:rPr>
          <w:sz w:val="20"/>
        </w:rPr>
        <w:t>Giménez et al.</w:t>
      </w:r>
    </w:p>
    <w:p>
      <w:pPr>
        <w:keepNext/>
        <w:spacing w:before="360" w:after="160"/>
      </w:pPr>
      <w:r>
        <w:rPr>
          <w:b/>
          <w:sz w:val="28"/>
        </w:rPr>
        <w:t>6.5.A — Inmunidad celular específica: utilidad clínica</w:t>
      </w:r>
    </w:p>
    <w:p>
      <w:pPr>
        <w:keepNext/>
        <w:spacing w:before="200" w:after="40"/>
      </w:pPr>
      <w:r>
        <w:rPr>
          <w:b/>
          <w:sz w:val="22"/>
        </w:rPr>
        <w:t xml:space="preserve">Manuel et al. (2013). </w:t>
      </w:r>
      <w:r>
        <w:rPr>
          <w:sz w:val="22"/>
        </w:rPr>
        <w:t xml:space="preserve">Assessment of Cytomegalovirus-Specific Cell-Mediated Immunity for the Prediction of Cytomegalovirus Disease in High-Risk Solid-Organ Transplant Recipients: A Multicenter Cohort Study.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[manuel2013]</w:t>
      </w:r>
    </w:p>
    <w:p>
      <w:pPr>
        <w:spacing w:after="40"/>
        <w:ind w:left="283"/>
      </w:pPr>
      <w:r>
        <w:rPr>
          <w:sz w:val="22"/>
        </w:rPr>
        <w:t>— Evaluación de CMI específica anti-CMV para predicción de enfermedad CMV en TOS de alto riesgo: pacientes con CMI conservada presentan menor riesgo de enfermedad.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para el potencial uso de CMI en estratificación. Tu cohorte no usó CMI rutinariamente, pero la baja proporción de enfermedad sintomática (20,5%) puede reflejar la conservación de CMI en muchos R+.</w:t>
      </w:r>
    </w:p>
    <w:p>
      <w:pPr>
        <w:keepNext/>
        <w:spacing w:before="200" w:after="40"/>
      </w:pPr>
      <w:r>
        <w:rPr>
          <w:b/>
          <w:sz w:val="22"/>
        </w:rPr>
        <w:t xml:space="preserve">Hall et al. (2022). </w:t>
      </w:r>
      <w:r>
        <w:rPr>
          <w:sz w:val="22"/>
        </w:rPr>
        <w:t xml:space="preserve">Utility of Cytomegalovirus Cell-Mediated Immunity Assays in Solid Organ Transplantation.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[hall2022]</w:t>
      </w:r>
    </w:p>
    <w:p>
      <w:pPr>
        <w:spacing w:after="40"/>
        <w:ind w:left="283"/>
      </w:pPr>
      <w:r>
        <w:rPr>
          <w:sz w:val="22"/>
        </w:rPr>
        <w:t>— Utilidad clínica de los ensayos de inmunidad celular específica de CMV en TOS: predicen riesgo de DNAemia y de enfermedad. Sin embargo, no distinguen riesgo asociado a genotipo o cepa.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integrar CMI con genotipado en futuros estudios.</w:t>
      </w:r>
    </w:p>
    <w:p>
      <w:pPr>
        <w:keepNext/>
        <w:spacing w:before="200" w:after="40"/>
      </w:pPr>
      <w:r>
        <w:rPr>
          <w:b/>
          <w:sz w:val="22"/>
        </w:rPr>
        <w:t xml:space="preserve">Dioverti et al. (2023). </w:t>
      </w:r>
      <w:r>
        <w:rPr>
          <w:sz w:val="22"/>
        </w:rPr>
        <w:t xml:space="preserve">Clinical utility of a cytomegalovirus‐specific T cell assay in assessing the risk of post‐prophylaxis cytomegalovirus infection and post‐treatment relapse. </w:t>
      </w:r>
      <w:r>
        <w:rPr>
          <w:i/>
          <w:sz w:val="22"/>
        </w:rPr>
        <w:t>Clinical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[dioverti2023]</w:t>
      </w:r>
    </w:p>
    <w:p>
      <w:pPr>
        <w:spacing w:after="40"/>
        <w:ind w:left="283"/>
      </w:pPr>
      <w:r>
        <w:rPr>
          <w:sz w:val="22"/>
        </w:rPr>
        <w:t>— Utilidad clínica del ensayo de células T específicas de CMV en evaluación del riesgo de DNAemia post-trasplante: un valor positivo sugiere protección.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complementaria.</w:t>
      </w:r>
    </w:p>
    <w:p>
      <w:pPr>
        <w:keepNext/>
        <w:spacing w:before="200" w:after="40"/>
      </w:pPr>
      <w:r>
        <w:rPr>
          <w:b/>
          <w:sz w:val="22"/>
        </w:rPr>
        <w:t xml:space="preserve">Boada-Pérez et al. (2025). </w:t>
      </w:r>
      <w:r>
        <w:rPr>
          <w:sz w:val="22"/>
        </w:rPr>
        <w:t xml:space="preserve">Discordance between humoral and cellular immune responses to cytomegalovirus infection in CMV seropositive patients awaiting lung transplantation. </w:t>
      </w:r>
      <w:r>
        <w:rPr>
          <w:i/>
          <w:sz w:val="22"/>
        </w:rPr>
        <w:t>Frontiers in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[boada-perez2025]</w:t>
      </w:r>
    </w:p>
    <w:p>
      <w:pPr>
        <w:spacing w:after="40"/>
        <w:ind w:left="283"/>
      </w:pPr>
      <w:r>
        <w:rPr>
          <w:sz w:val="22"/>
        </w:rPr>
        <w:t>— Discordancia entre la respuesta humoral y celular en infección CMV en TOS: en algunos pacientes la respuesta humoral es robusta pero la respuesta celular es deficiente, lo que constituye un grupo de riesgo no detectado por serología.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limitación del seroestatus pretrasplante como único estratificador. Tu observación de mixtos en pacientes seropositivos para ambos genotipos (subanálisis) podría reflejar pacientes con respuesta humoral correcta pero celular insuficiente.</w:t>
      </w:r>
    </w:p>
    <w:p>
      <w:pPr>
        <w:keepNext/>
        <w:spacing w:before="200" w:after="40"/>
      </w:pPr>
      <w:r>
        <w:rPr>
          <w:b/>
          <w:sz w:val="22"/>
        </w:rPr>
        <w:t xml:space="preserve">Navarro et al. (2019). </w:t>
      </w:r>
      <w:r>
        <w:rPr>
          <w:sz w:val="22"/>
        </w:rPr>
        <w:t xml:space="preserve">Going beyond serology for stratifying the risk of CMV infection in transplant recipients. </w:t>
      </w:r>
      <w:r>
        <w:rPr>
          <w:i/>
          <w:sz w:val="22"/>
        </w:rPr>
        <w:t>Reviews in Medical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[navarro2019]</w:t>
      </w:r>
    </w:p>
    <w:p>
      <w:pPr>
        <w:spacing w:after="40"/>
        <w:ind w:left="283"/>
      </w:pPr>
      <w:r>
        <w:rPr>
          <w:sz w:val="22"/>
        </w:rPr>
        <w:t>— Estratificación del riesgo CMV más allá de la serología: incluir CMI, biomarcadores virales (CV, genotipo) y polimorfismos del huésped.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directo y CRÍTICO a la motivación de tu Estudio 1: el genotipado gB/gH es un biomarcador adicional para estratificación de riesgo.</w:t>
      </w:r>
    </w:p>
    <w:p>
      <w:pPr>
        <w:keepNext/>
        <w:spacing w:before="200" w:after="40"/>
      </w:pPr>
      <w:r>
        <w:rPr>
          <w:b/>
          <w:sz w:val="22"/>
        </w:rPr>
        <w:t xml:space="preserve">Pickering et al. (2025). </w:t>
      </w:r>
      <w:r>
        <w:rPr>
          <w:sz w:val="22"/>
        </w:rPr>
        <w:t xml:space="preserve">Cytomegalovirus-associated CD57 + KLRG1 + CD8 + TEMRA T cells are associated with reduced risk of CMV viremia in kidney transplantation and chronic allograft dysfunction in lung transplantation. </w:t>
      </w:r>
      <w:r>
        <w:rPr>
          <w:i/>
          <w:sz w:val="22"/>
        </w:rPr>
        <w:t>Human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[pickering2025a]</w:t>
      </w:r>
    </w:p>
    <w:p>
      <w:pPr>
        <w:spacing w:after="40"/>
        <w:ind w:left="283"/>
      </w:pPr>
      <w:r>
        <w:rPr>
          <w:sz w:val="22"/>
        </w:rPr>
        <w:t>— Células T CD8+ TEMRA con fenotipo CD57+/KLRG1+ asociadas a CMV: marcadores de senescencia inmune asociados a peor pronóstico en envejecimiento del repertorio T.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noción de que la replicación CMV recurrente en mixtos puede inducir senescencia inmune que predisponga a neoplasias.</w:t>
      </w:r>
    </w:p>
    <w:p>
      <w:pPr>
        <w:keepNext/>
        <w:spacing w:before="360" w:after="160"/>
      </w:pPr>
      <w:r>
        <w:rPr>
          <w:b/>
          <w:sz w:val="28"/>
        </w:rPr>
        <w:t>6.5.B — Subpoblaciones T y biomarcadores T-bet/Eomes</w:t>
      </w:r>
    </w:p>
    <w:p>
      <w:pPr>
        <w:keepNext/>
        <w:spacing w:before="200" w:after="40"/>
      </w:pPr>
      <w:r>
        <w:rPr>
          <w:b/>
          <w:sz w:val="22"/>
        </w:rPr>
        <w:t xml:space="preserve">Pipeling et al. (2011). </w:t>
      </w:r>
      <w:r>
        <w:rPr>
          <w:sz w:val="22"/>
        </w:rPr>
        <w:t xml:space="preserve">Primary Cytomegalovirus Phosphoprotein 65–Specific CD8+ T-Cell Responses and T-bet Levels Predict Immune Control During Early Chronic Infection in Lung Transplant Recipients.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[pipeling2011]</w:t>
      </w:r>
    </w:p>
    <w:p>
      <w:pPr>
        <w:spacing w:after="40"/>
        <w:ind w:left="283"/>
      </w:pPr>
      <w:r>
        <w:rPr>
          <w:sz w:val="22"/>
        </w:rPr>
        <w:t>— Respuesta CD8+ específica de pp65 y niveles de T-bet diferencian RTP que controlan vs no controlan la replicación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Popescu et al. (2014). </w:t>
      </w:r>
      <w:r>
        <w:rPr>
          <w:sz w:val="22"/>
        </w:rPr>
        <w:t xml:space="preserve">T-bet:Eomes Balance, Effector Function, and Proliferation of Cytomegalovirus-Specific CD8+ T Cells during Primary Infection Differentiates the Capacity for Durable Immune Control. </w:t>
      </w:r>
      <w:r>
        <w:rPr>
          <w:i/>
          <w:sz w:val="22"/>
        </w:rPr>
        <w:t>The Journal of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[popescu2014]</w:t>
      </w:r>
    </w:p>
    <w:p>
      <w:pPr>
        <w:spacing w:after="40"/>
        <w:ind w:left="283"/>
      </w:pPr>
      <w:r>
        <w:rPr>
          <w:sz w:val="22"/>
        </w:rPr>
        <w:t>— Balance T-bet:Eomes en CD8+ específicos de CMV: pacientes con balance hacia T-bet presentan mayor función efectora y mejor control viral.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Popescu et al. (2016). </w:t>
      </w:r>
      <w:r>
        <w:rPr>
          <w:sz w:val="22"/>
        </w:rPr>
        <w:t xml:space="preserve">IL-12–Dependent Cytomegalovirus-Specific CD4+ T Cell Proliferation, T-bet Induction, and Effector Multifunction during Primary Infection Are Key Determinants for Early Immune Control. </w:t>
      </w:r>
      <w:r>
        <w:rPr>
          <w:i/>
          <w:sz w:val="22"/>
        </w:rPr>
        <w:t>The Journal of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[popescu2016]</w:t>
      </w:r>
    </w:p>
    <w:p>
      <w:pPr>
        <w:spacing w:after="40"/>
        <w:ind w:left="283"/>
      </w:pPr>
      <w:r>
        <w:rPr>
          <w:sz w:val="22"/>
        </w:rPr>
        <w:t>— Proliferación de CD4+ específicos de CMV es dependiente de IL-12, con inducción de T-bet y función efectora.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Nguyen et al. (2014). </w:t>
      </w:r>
      <w:r>
        <w:rPr>
          <w:sz w:val="22"/>
        </w:rPr>
        <w:t xml:space="preserve">Recognition of Distinct Cross-Reactive Virus-Specific CD8+ T Cells Reveals a Unique TCR Signature in a Clinical Setting. </w:t>
      </w:r>
      <w:r>
        <w:rPr>
          <w:i/>
          <w:sz w:val="22"/>
        </w:rPr>
        <w:t>The Journal of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[nguyen2014]</w:t>
      </w:r>
    </w:p>
    <w:p>
      <w:pPr>
        <w:spacing w:after="40"/>
        <w:ind w:left="283"/>
      </w:pPr>
      <w:r>
        <w:rPr>
          <w:sz w:val="22"/>
        </w:rPr>
        <w:t>— Reconocimiento de CD8+ específicos de virus distintos por TCRs cross-reactivas: la inmunidad específica de CMV puede ofrecer protección cruzada y, simultáneamente, ser parcialmente afectada por exposiciones previas a otros virus.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Snyder et al. (2016). </w:t>
      </w:r>
      <w:r>
        <w:rPr>
          <w:sz w:val="22"/>
        </w:rPr>
        <w:t xml:space="preserve">Polyfunctional T-Cell Signatures to Predict Protection from Cytomegalovirus after Lung Transplantation. </w:t>
      </w:r>
      <w:r>
        <w:rPr>
          <w:i/>
          <w:sz w:val="22"/>
        </w:rPr>
        <w:t>American Journal of Respiratory and Critical Care Medicine.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[snyder2016]</w:t>
      </w:r>
    </w:p>
    <w:p>
      <w:pPr>
        <w:spacing w:after="40"/>
        <w:ind w:left="283"/>
      </w:pPr>
      <w:r>
        <w:rPr>
          <w:sz w:val="22"/>
        </w:rPr>
        <w:t>— Firmas polifuncionales de células T predicen protección frente a CMV tras RTP: respuestas multifuncionales (IFN-γ + TNF + IL-2) protegen mejor que monofuncionales.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Giménez y Albert (2026). </w:t>
      </w:r>
      <w:r>
        <w:rPr>
          <w:sz w:val="22"/>
        </w:rPr>
        <w:t xml:space="preserve">CMV-specific cellular immunity in solid organ transplantation: Challenges and opportunities for clinical implementation. </w:t>
      </w:r>
      <w:r>
        <w:rPr>
          <w:i/>
          <w:sz w:val="22"/>
        </w:rPr>
        <w:t>Enfermedades Infecciosas y Microbiología Clínica.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[gimenez2026]</w:t>
      </w:r>
    </w:p>
    <w:p>
      <w:pPr>
        <w:spacing w:after="40"/>
        <w:ind w:left="283"/>
      </w:pPr>
      <w:r>
        <w:rPr>
          <w:sz w:val="22"/>
        </w:rPr>
        <w:t>— Inmunidad celular específica de CMV en TOS: retos y oportunidades en la integración clínica.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reciente.</w:t>
      </w:r>
    </w:p>
    <w:p>
      <w:pPr>
        <w:keepNext/>
        <w:spacing w:before="360" w:after="160"/>
      </w:pPr>
      <w:r>
        <w:rPr>
          <w:b/>
          <w:sz w:val="28"/>
        </w:rPr>
        <w:t>6.5.C — KIRs y respuesta NK</w:t>
      </w:r>
    </w:p>
    <w:p>
      <w:pPr>
        <w:keepNext/>
        <w:spacing w:before="200" w:after="40"/>
      </w:pPr>
      <w:r>
        <w:rPr>
          <w:b/>
          <w:sz w:val="22"/>
        </w:rPr>
        <w:t xml:space="preserve">De Rham et al. (2014). </w:t>
      </w:r>
      <w:r>
        <w:rPr>
          <w:sz w:val="22"/>
        </w:rPr>
        <w:t xml:space="preserve">Expression of killer cell immunoglobulin-like receptors (KIRs) by natural killer cells during acute CMV infection after kidney transplantation. </w:t>
      </w:r>
      <w:r>
        <w:rPr>
          <w:i/>
          <w:sz w:val="22"/>
        </w:rPr>
        <w:t>Transplant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[derham2014]</w:t>
      </w:r>
    </w:p>
    <w:p>
      <w:pPr>
        <w:spacing w:after="40"/>
        <w:ind w:left="283"/>
      </w:pPr>
      <w:r>
        <w:rPr>
          <w:sz w:val="22"/>
        </w:rPr>
        <w:t>— Expresión de KIRs por NK en RTP infectados por CMV: aumento de KIRs activadores asociados a mejor control viral.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Wagner et al. (2007). </w:t>
      </w:r>
      <w:r>
        <w:rPr>
          <w:sz w:val="22"/>
        </w:rPr>
        <w:t xml:space="preserve">Increased Expression of Leukocyte Ig-Like Receptor-1 and Activating Role of UL18 in the Response to Cytomegalovirus Infection. </w:t>
      </w:r>
      <w:r>
        <w:rPr>
          <w:i/>
          <w:sz w:val="22"/>
        </w:rPr>
        <w:t>The Journal of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[wagner2007]</w:t>
      </w:r>
    </w:p>
    <w:p>
      <w:pPr>
        <w:spacing w:after="40"/>
        <w:ind w:left="283"/>
      </w:pPr>
      <w:r>
        <w:rPr>
          <w:sz w:val="22"/>
        </w:rPr>
        <w:t>— Aumento de expresión de receptores Ig-like de leucocitos y papel activador de UL18 en la respuesta NK frente a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modulación NK por CMV.</w:t>
      </w:r>
    </w:p>
    <w:p>
      <w:pPr>
        <w:keepNext/>
        <w:spacing w:before="200" w:after="40"/>
      </w:pPr>
      <w:r>
        <w:rPr>
          <w:b/>
          <w:sz w:val="22"/>
        </w:rPr>
        <w:t xml:space="preserve">Hsu et al. (2024). </w:t>
      </w:r>
      <w:r>
        <w:rPr>
          <w:sz w:val="22"/>
        </w:rPr>
        <w:t xml:space="preserve">An epigenetic human cytomegalovirus infection score predicts viremia risk in seropositive lung transplant recipients. </w:t>
      </w:r>
      <w:r>
        <w:rPr>
          <w:i/>
          <w:sz w:val="22"/>
        </w:rPr>
        <w:t>Epigenetics.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[hsu2024]</w:t>
      </w:r>
    </w:p>
    <w:p>
      <w:pPr>
        <w:spacing w:after="40"/>
        <w:ind w:left="283"/>
      </w:pPr>
      <w:r>
        <w:rPr>
          <w:sz w:val="22"/>
        </w:rPr>
        <w:t>— Score epigenético de la infección por CMV predice riesgo de viremia en seropositivos.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reciente con potencial aplicación clínica.</w:t>
      </w:r>
    </w:p>
    <w:p>
      <w:pPr>
        <w:keepNext/>
        <w:spacing w:before="480" w:after="240"/>
      </w:pPr>
      <w:r>
        <w:rPr>
          <w:b/>
          <w:sz w:val="36"/>
        </w:rPr>
        <w:t>Apartado 6.6 — NGS, mutaciones de resistencia antiviral y polimorfismos naturales</w:t>
      </w:r>
    </w:p>
    <w:p>
      <w:pPr>
        <w:spacing w:after="120"/>
      </w:pPr>
      <w:r>
        <w:rPr>
          <w:b w:val="0"/>
          <w:i w:val="0"/>
          <w:sz w:val="22"/>
        </w:rPr>
        <w:t>Esta sección agrupa la literatura del Estudio 2: revisiones y trabajos metodológicos sobre NGS para detección de MRA, plataformas comparativas, polimorfismos naturales en UL97/UL54/UL56, prevalencia de resistencias en distintas poblaciones, casos clínicos de resistencia múltiple y nuevas terapias (letermovir, maribavir).</w:t>
      </w:r>
    </w:p>
    <w:p>
      <w:pPr>
        <w:keepNext/>
        <w:spacing w:before="360" w:after="160"/>
      </w:pPr>
      <w:r>
        <w:rPr>
          <w:b/>
          <w:sz w:val="28"/>
        </w:rPr>
        <w:t>6.6.A — Revisiones de NGS y resistencias antivirales (Chou)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2005 </w:t>
      </w:r>
      <w:r>
        <w:rPr>
          <w:b/>
          <w:i/>
          <w:sz w:val="20"/>
        </w:rPr>
        <w:t xml:space="preserve">— Fenotipado por virus recombinantes: </w:t>
      </w:r>
      <w:r>
        <w:rPr>
          <w:sz w:val="20"/>
        </w:rPr>
        <w:t>Chou et al. — caracterización mediante construcción recombinante.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Mejorada detección de subpoblaciones MR: </w:t>
      </w:r>
      <w:r>
        <w:rPr>
          <w:sz w:val="20"/>
        </w:rPr>
        <w:t>Chou — deep sequencing detecta subpoblaciones &lt;1%.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Caracterización fenotípica de polimerasas no caracterizadas: </w:t>
      </w:r>
      <w:r>
        <w:rPr>
          <w:sz w:val="20"/>
        </w:rPr>
        <w:t>Chou et al.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Avances en diagnóstico genotípico de resistencia: </w:t>
      </w:r>
      <w:r>
        <w:rPr>
          <w:sz w:val="20"/>
        </w:rPr>
        <w:t>Chou — revisión actualizada.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Fenotipos de variantes en ensayos clínicos LET: </w:t>
      </w:r>
      <w:r>
        <w:rPr>
          <w:sz w:val="20"/>
        </w:rPr>
        <w:t>Chou.</w:t>
      </w:r>
    </w:p>
    <w:p>
      <w:pPr>
        <w:keepNext/>
        <w:spacing w:before="200" w:after="40"/>
      </w:pPr>
      <w:r>
        <w:rPr>
          <w:b/>
          <w:sz w:val="22"/>
        </w:rPr>
        <w:t xml:space="preserve">Chou et al. (2005). </w:t>
      </w:r>
      <w:r>
        <w:rPr>
          <w:sz w:val="22"/>
        </w:rPr>
        <w:t xml:space="preserve">Phenotyping of Cytomegalovirus Drug Resistance Mutations by Using Recombinant Viruses Incorporating a Reporter Gene. </w:t>
      </w:r>
      <w:r>
        <w:rPr>
          <w:i/>
          <w:sz w:val="22"/>
        </w:rPr>
        <w:t>Antimicrobial Agents and Chemotherapy.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[chou2005]</w:t>
      </w:r>
    </w:p>
    <w:p>
      <w:pPr>
        <w:spacing w:after="40"/>
        <w:ind w:left="283"/>
      </w:pPr>
      <w:r>
        <w:rPr>
          <w:sz w:val="22"/>
        </w:rPr>
        <w:t>— Fenotipado de mutaciones de resistencia CMV mediante virus recombinantes: caracterización experimental de mutaciones individuales con marcadores reporteros.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ESTA REFERENCIA ES CLAVE para la reclasificación de D605E en UL97 como polimorfismo natural. Chou 2005 demostró que D605E NO altera la susceptibilidad a ganciclovir, contradiciendo la clasificación CHARMD que la considera MRA. Tu argumento de reclasificación es coherente con esta evidencia experimental.</w:t>
      </w:r>
    </w:p>
    <w:p>
      <w:pPr>
        <w:keepNext/>
        <w:spacing w:before="200" w:after="40"/>
      </w:pPr>
      <w:r>
        <w:rPr>
          <w:b/>
          <w:sz w:val="22"/>
        </w:rPr>
        <w:t xml:space="preserve">Chou et al. (2014). </w:t>
      </w:r>
      <w:r>
        <w:rPr>
          <w:sz w:val="22"/>
        </w:rPr>
        <w:t xml:space="preserve">Improved Detection of Emerging Drug-Resistant Mutant Cytomegalovirus Subpopulations by Deep Sequencing. </w:t>
      </w:r>
      <w:r>
        <w:rPr>
          <w:i/>
          <w:sz w:val="22"/>
        </w:rPr>
        <w:t>Antimicrobial Agents and Chemotherapy.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[chou2014]</w:t>
      </w:r>
    </w:p>
    <w:p>
      <w:pPr>
        <w:spacing w:after="40"/>
        <w:ind w:left="283"/>
      </w:pPr>
      <w:r>
        <w:rPr>
          <w:sz w:val="22"/>
        </w:rPr>
        <w:t>— Mejora en la detección de subpoblaciones de mutantes resistentes emergentes mediante deep sequencing: NGS detecta subpoblaciones a 1-5% que la secuenciación Sanger pierde.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Soporte metodológico fundamental para tu estrategia de umbrales ≥5%, ≥10%, ≥15% y ≥20% en el Estudio 2.</w:t>
      </w:r>
    </w:p>
    <w:p>
      <w:pPr>
        <w:keepNext/>
        <w:spacing w:before="200" w:after="40"/>
      </w:pPr>
      <w:r>
        <w:rPr>
          <w:b/>
          <w:sz w:val="22"/>
        </w:rPr>
        <w:t xml:space="preserve">Chou et al. (2014). </w:t>
      </w:r>
      <w:r>
        <w:rPr>
          <w:sz w:val="22"/>
        </w:rPr>
        <w:t xml:space="preserve">Phenotypic Evaluation of Previously Uncharacterized Cytomegalovirus DNA Polymerase Sequence Variants Detected in a Valganciclovir Treatment Trial. </w:t>
      </w:r>
      <w:r>
        <w:rPr>
          <w:i/>
          <w:sz w:val="22"/>
        </w:rPr>
        <w:t>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[chou2014a]</w:t>
      </w:r>
    </w:p>
    <w:p>
      <w:pPr>
        <w:spacing w:after="40"/>
        <w:ind w:left="283"/>
      </w:pPr>
      <w:r>
        <w:rPr>
          <w:sz w:val="22"/>
        </w:rPr>
        <w:t>— Evaluación fenotípica de secuencias previamente no caracterizadas de la DNA polimerasa CMV: catálogo de variantes con efecto fenotípico evaluado experimentalmente.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La VSI F396L UL54 que detectaste en RTP-2 está identificada en este trabajo entre las 110 variantes no caracterizadas, sin caracterización fenotípica concluyente. Tu hallazgo en RTP-2 a 12,9% en m3 es una observación clínica pendiente de fenotipado.</w:t>
      </w:r>
    </w:p>
    <w:p>
      <w:pPr>
        <w:keepNext/>
        <w:spacing w:before="200" w:after="40"/>
      </w:pPr>
      <w:r>
        <w:rPr>
          <w:b/>
          <w:sz w:val="22"/>
        </w:rPr>
        <w:t xml:space="preserve">Chou (2020). </w:t>
      </w:r>
      <w:r>
        <w:rPr>
          <w:sz w:val="22"/>
        </w:rPr>
        <w:t xml:space="preserve">Advances in the genotypic diagnosis of cytomegalovirus antiviral drug resistance. </w:t>
      </w:r>
      <w:r>
        <w:rPr>
          <w:i/>
          <w:sz w:val="22"/>
        </w:rPr>
        <w:t>Antiviral Research.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[chou2020]</w:t>
      </w:r>
    </w:p>
    <w:p>
      <w:pPr>
        <w:spacing w:after="40"/>
        <w:ind w:left="283"/>
      </w:pPr>
      <w:r>
        <w:rPr>
          <w:sz w:val="22"/>
        </w:rPr>
        <w:t>— Avances en el diagnóstico genotípico de resistencia antiviral CMV: revisión exhaustiva con énfasis en NGS, umbrales de detección, interpretación de subpoblaciones minoritarias y necesidad de catálogos de polimorfismos.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Marco conceptual para tu Estudio 2. Cita obligada para la metodología y la interpretación.</w:t>
      </w:r>
    </w:p>
    <w:p>
      <w:pPr>
        <w:keepNext/>
        <w:spacing w:before="200" w:after="40"/>
      </w:pPr>
      <w:r>
        <w:rPr>
          <w:b/>
          <w:sz w:val="22"/>
        </w:rPr>
        <w:t xml:space="preserve">Chou y Watanabe (2024). </w:t>
      </w:r>
      <w:r>
        <w:rPr>
          <w:sz w:val="22"/>
        </w:rPr>
        <w:t xml:space="preserve">Phenotypes of cytomegalovirus genetic variants encountered in a letermovir clinical trial illustrate the importance of genotyping validation. </w:t>
      </w:r>
      <w:r>
        <w:rPr>
          <w:i/>
          <w:sz w:val="22"/>
        </w:rPr>
        <w:t>Antiviral Research.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[chou2024]</w:t>
      </w:r>
    </w:p>
    <w:p>
      <w:pPr>
        <w:spacing w:after="40"/>
        <w:ind w:left="283"/>
      </w:pPr>
      <w:r>
        <w:rPr>
          <w:sz w:val="22"/>
        </w:rPr>
        <w:t>— Fenotipos de variantes genéticas CMV encontradas en ensayos clínicos de letermovir: caracteriza nuevas variantes UL56 y su impacto sobre la actividad de letermovir.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a la interpretación de tus VND en UL56 (R513C, Y281H, N330S). Permite poner en contexto las variantes a baja frecuencia detectadas en RTP-11.</w:t>
      </w:r>
    </w:p>
    <w:p>
      <w:pPr>
        <w:keepNext/>
        <w:spacing w:before="360" w:after="160"/>
      </w:pPr>
      <w:r>
        <w:rPr>
          <w:b/>
          <w:sz w:val="28"/>
        </w:rPr>
        <w:t>6.6.B — Plataformas NGS y aplicaciones asistenciales para detección de MRA</w:t>
      </w:r>
    </w:p>
    <w:p>
      <w:pPr>
        <w:keepNext/>
        <w:spacing w:before="200" w:after="40"/>
      </w:pPr>
      <w:r>
        <w:rPr>
          <w:b/>
          <w:sz w:val="22"/>
        </w:rPr>
        <w:t xml:space="preserve">Zürcher et al. (2012). </w:t>
      </w:r>
      <w:r>
        <w:rPr>
          <w:sz w:val="22"/>
        </w:rPr>
        <w:t xml:space="preserve">Sensitive and rapid detection of ganciclovir resistance by PCR based MALDI-TOF analysis.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[zurcher2012]</w:t>
      </w:r>
    </w:p>
    <w:p>
      <w:pPr>
        <w:spacing w:after="40"/>
        <w:ind w:left="283"/>
      </w:pPr>
      <w:r>
        <w:rPr>
          <w:sz w:val="22"/>
        </w:rPr>
        <w:t>— Detección sensible y rápida de resistencia a ganciclovir mediante PCR-MALDI-TOF: alternativa metodológica histórica antes del NGS.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 para enmarcar la evolución de los métodos.</w:t>
      </w:r>
    </w:p>
    <w:p>
      <w:pPr>
        <w:keepNext/>
        <w:spacing w:before="200" w:after="40"/>
      </w:pPr>
      <w:r>
        <w:rPr>
          <w:b/>
          <w:sz w:val="22"/>
        </w:rPr>
        <w:t xml:space="preserve">López-Aladid et al. (2017). </w:t>
      </w:r>
      <w:r>
        <w:rPr>
          <w:sz w:val="22"/>
        </w:rPr>
        <w:t xml:space="preserve">Detection of cytomegalovirus drug resistance mutations in solid organ transplant recipients with suspected resistance. </w:t>
      </w:r>
      <w:r>
        <w:rPr>
          <w:i/>
          <w:sz w:val="22"/>
        </w:rPr>
        <w:t>Journal of Clinical Virology.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[lopez-aladid2017]</w:t>
      </w:r>
    </w:p>
    <w:p>
      <w:pPr>
        <w:spacing w:after="40"/>
        <w:ind w:left="283"/>
      </w:pPr>
      <w:r>
        <w:rPr>
          <w:sz w:val="22"/>
        </w:rPr>
        <w:t>— Detección de MRA en TOS con sospecha de resistencia: cohorte multicéntrica española.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 en el ámbito español.</w:t>
      </w:r>
    </w:p>
    <w:p>
      <w:pPr>
        <w:keepNext/>
        <w:spacing w:before="200" w:after="40"/>
      </w:pPr>
      <w:r>
        <w:rPr>
          <w:b/>
          <w:sz w:val="22"/>
        </w:rPr>
        <w:t xml:space="preserve">López-Aladid et al. (2019). </w:t>
      </w:r>
      <w:r>
        <w:rPr>
          <w:sz w:val="22"/>
        </w:rPr>
        <w:t xml:space="preserve">Improvement in detecting cytomegalovirus drug resistance mutations in solid organ transplant recipients with suspected resistance using next generation sequencing. </w:t>
      </w:r>
      <w:r>
        <w:rPr>
          <w:i/>
          <w:sz w:val="22"/>
        </w:rPr>
        <w:t>PLOS ONE.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[lopez-aladid2019]</w:t>
      </w:r>
    </w:p>
    <w:p>
      <w:pPr>
        <w:spacing w:after="40"/>
        <w:ind w:left="283"/>
      </w:pPr>
      <w:r>
        <w:rPr>
          <w:sz w:val="22"/>
        </w:rPr>
        <w:t>— Mejora en la detección de MRA en TOS — estudio ampliado: NGS detecta MRA minoritarias adicionales a la secuenciación Sanger.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al uso de NGS frente a Sanger, alineado con tu Estudio 2.</w:t>
      </w:r>
    </w:p>
    <w:p>
      <w:pPr>
        <w:keepNext/>
        <w:spacing w:before="200" w:after="40"/>
      </w:pPr>
      <w:r>
        <w:rPr>
          <w:b/>
          <w:sz w:val="22"/>
        </w:rPr>
        <w:t xml:space="preserve">Chorlton et al. (2021). </w:t>
      </w:r>
      <w:r>
        <w:rPr>
          <w:sz w:val="22"/>
        </w:rPr>
        <w:t xml:space="preserve">Next-generation sequencing for cytomegalovirus antiviral resistance genotyping in a clinical virology laboratory. </w:t>
      </w:r>
      <w:r>
        <w:rPr>
          <w:i/>
          <w:sz w:val="22"/>
        </w:rPr>
        <w:t>Antiviral Research.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[chorlton2021]</w:t>
      </w:r>
    </w:p>
    <w:p>
      <w:pPr>
        <w:spacing w:after="40"/>
        <w:ind w:left="283"/>
      </w:pPr>
      <w:r>
        <w:rPr>
          <w:sz w:val="22"/>
        </w:rPr>
        <w:t>— NGS para genotipado de resistencia antiviral CMV en un setting clínico: factibilidad en flujo asistencial.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implementación clínica de NGS, como hicisteis en HU12O.</w:t>
      </w:r>
    </w:p>
    <w:p>
      <w:pPr>
        <w:keepNext/>
        <w:spacing w:before="200" w:after="40"/>
      </w:pPr>
      <w:r>
        <w:rPr>
          <w:b/>
          <w:sz w:val="22"/>
        </w:rPr>
        <w:t xml:space="preserve">Mallory et al. (2023). </w:t>
      </w:r>
      <w:r>
        <w:rPr>
          <w:sz w:val="22"/>
        </w:rPr>
        <w:t xml:space="preserve">Development and validation of a next-generation sequencing assay with open-access analysis software for detecting resistance-associated mutations in CMV.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[mallory2023a]</w:t>
      </w:r>
    </w:p>
    <w:p>
      <w:pPr>
        <w:spacing w:after="40"/>
        <w:ind w:left="283"/>
      </w:pPr>
      <w:r>
        <w:rPr>
          <w:sz w:val="22"/>
        </w:rPr>
        <w:t>— Desarrollo y validación de un ensayo NGS con análisis open-access para CMV: democratiza la metodología.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metodológico.</w:t>
      </w:r>
    </w:p>
    <w:p>
      <w:pPr>
        <w:keepNext/>
        <w:spacing w:before="200" w:after="40"/>
      </w:pPr>
      <w:r>
        <w:rPr>
          <w:b/>
          <w:sz w:val="22"/>
        </w:rPr>
        <w:t xml:space="preserve">Streck et al. (2023). </w:t>
      </w:r>
      <w:r>
        <w:rPr>
          <w:sz w:val="22"/>
        </w:rPr>
        <w:t xml:space="preserve">Use of next-generation sequencing to detect mutations associated with antiviral drug resistance in cytomegalovirus.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[streck2023a]</w:t>
      </w:r>
    </w:p>
    <w:p>
      <w:pPr>
        <w:spacing w:after="40"/>
        <w:ind w:left="283"/>
      </w:pPr>
      <w:r>
        <w:rPr>
          <w:sz w:val="22"/>
        </w:rPr>
        <w:t>— Uso de NGS para detección de mutaciones asociadas con resistencia antiviral en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metodológico.</w:t>
      </w:r>
    </w:p>
    <w:p>
      <w:pPr>
        <w:keepNext/>
        <w:spacing w:before="200" w:after="40"/>
      </w:pPr>
      <w:r>
        <w:rPr>
          <w:b/>
          <w:sz w:val="22"/>
        </w:rPr>
        <w:t xml:space="preserve">Andreani et al. (2024). </w:t>
      </w:r>
      <w:r>
        <w:rPr>
          <w:sz w:val="22"/>
        </w:rPr>
        <w:t xml:space="preserve">Long-Range Pcrs and Next-Generation Sequencing to Detect Cytomegalovirus Drug Resistance-Associated Mutations. </w:t>
      </w:r>
      <w:r>
        <w:rPr>
          <w:i/>
          <w:sz w:val="22"/>
        </w:rPr>
        <w:t>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[andreani2024]</w:t>
      </w:r>
    </w:p>
    <w:p>
      <w:pPr>
        <w:spacing w:after="40"/>
        <w:ind w:left="283"/>
      </w:pPr>
      <w:r>
        <w:rPr>
          <w:sz w:val="22"/>
        </w:rPr>
        <w:t>— Long-range PCR + NGS para detección de mutaciones de resistencia antiviral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avanzado.</w:t>
      </w:r>
    </w:p>
    <w:p>
      <w:pPr>
        <w:keepNext/>
        <w:spacing w:before="200" w:after="40"/>
      </w:pPr>
      <w:r>
        <w:rPr>
          <w:b/>
          <w:sz w:val="22"/>
        </w:rPr>
        <w:t xml:space="preserve">Alsanea et al. (2024). </w:t>
      </w:r>
      <w:r>
        <w:rPr>
          <w:sz w:val="22"/>
        </w:rPr>
        <w:t xml:space="preserve">Diagnosis of Human Cytomegalovirus Drug Resistance Mutations in Solid Organ Transplant Recipients—A Review. </w:t>
      </w:r>
      <w:r>
        <w:rPr>
          <w:i/>
          <w:sz w:val="22"/>
        </w:rPr>
        <w:t>Diagnostics.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[alsanea2024]</w:t>
      </w:r>
    </w:p>
    <w:p>
      <w:pPr>
        <w:spacing w:after="40"/>
        <w:ind w:left="283"/>
      </w:pPr>
      <w:r>
        <w:rPr>
          <w:sz w:val="22"/>
        </w:rPr>
        <w:t>— Diagnóstico de mutaciones de resistencia CMV en TOS: cohorte con perfil de mutaciones detectadas.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Comparable.</w:t>
      </w:r>
    </w:p>
    <w:p>
      <w:pPr>
        <w:keepNext/>
        <w:spacing w:before="200" w:after="40"/>
      </w:pPr>
      <w:r>
        <w:rPr>
          <w:b/>
          <w:sz w:val="22"/>
        </w:rPr>
        <w:t xml:space="preserve">Von Bredow et al. (2023). </w:t>
      </w:r>
      <w:r>
        <w:rPr>
          <w:sz w:val="22"/>
        </w:rPr>
        <w:t xml:space="preserve">Clinical next-generation sequencing assay combining full-length gene amplification and shotgun sequencing for the detection of CMV drug resistance mutations. </w:t>
      </w:r>
      <w:r>
        <w:rPr>
          <w:i/>
          <w:sz w:val="22"/>
        </w:rPr>
        <w:t>Journal of Clinical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[vonbredow2023]</w:t>
      </w:r>
    </w:p>
    <w:p>
      <w:pPr>
        <w:spacing w:after="40"/>
        <w:ind w:left="283"/>
      </w:pPr>
      <w:r>
        <w:rPr>
          <w:sz w:val="22"/>
        </w:rPr>
        <w:t>— Ensayo NGS clínico que combina amplificación full-length y short-read.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metodológico.</w:t>
      </w:r>
    </w:p>
    <w:p>
      <w:pPr>
        <w:keepNext/>
        <w:spacing w:before="200" w:after="40"/>
      </w:pPr>
      <w:r>
        <w:rPr>
          <w:b/>
          <w:sz w:val="22"/>
        </w:rPr>
        <w:t xml:space="preserve">Wang (2024). </w:t>
      </w:r>
      <w:r>
        <w:rPr>
          <w:sz w:val="22"/>
        </w:rPr>
        <w:t xml:space="preserve">Practical updates in clinical antiviral resistance testing. </w:t>
      </w:r>
      <w:r>
        <w:rPr>
          <w:i/>
          <w:sz w:val="22"/>
        </w:rPr>
        <w:t>Journal of Clinical Microbiology.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[wang2024]</w:t>
      </w:r>
    </w:p>
    <w:p>
      <w:pPr>
        <w:spacing w:after="40"/>
        <w:ind w:left="283"/>
      </w:pPr>
      <w:r>
        <w:rPr>
          <w:sz w:val="22"/>
        </w:rPr>
        <w:t>— Actualizaciones prácticas en pruebas de resistencia antiviral.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complementaria.</w:t>
      </w:r>
    </w:p>
    <w:p>
      <w:pPr>
        <w:keepNext/>
        <w:spacing w:before="200" w:after="40"/>
      </w:pPr>
      <w:r>
        <w:rPr>
          <w:b/>
          <w:sz w:val="22"/>
        </w:rPr>
        <w:t xml:space="preserve">Arnedo‐Muñoz et al. (2025). </w:t>
      </w:r>
      <w:r>
        <w:rPr>
          <w:sz w:val="22"/>
        </w:rPr>
        <w:t xml:space="preserve">A New Next‐Generation Sequencing Approach in Human Cytomegalovirus for the Identification of Antiviral Resistance Mutations and Genotypic Classification.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[arnedo-munoz2025]</w:t>
      </w:r>
    </w:p>
    <w:p>
      <w:pPr>
        <w:spacing w:after="40"/>
        <w:ind w:left="283"/>
      </w:pPr>
      <w:r>
        <w:rPr>
          <w:sz w:val="22"/>
        </w:rPr>
        <w:t>— Nuevo enfoque NGS para identificación de resistencia antiviral CMV: validación en muestras clínicas.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reciente y potencialmente español.</w:t>
      </w:r>
    </w:p>
    <w:p>
      <w:pPr>
        <w:keepNext/>
        <w:spacing w:before="200" w:after="40"/>
      </w:pPr>
      <w:r>
        <w:rPr>
          <w:b/>
          <w:sz w:val="22"/>
        </w:rPr>
        <w:t xml:space="preserve">Alemán et al. (2026). </w:t>
      </w:r>
      <w:r>
        <w:rPr>
          <w:sz w:val="22"/>
        </w:rPr>
        <w:t xml:space="preserve">Unraveling Cytomegalovirus Drug Resistance in Transplant Patients by Targeting Deep Sequencing. </w:t>
      </w:r>
      <w:r>
        <w:rPr>
          <w:i/>
          <w:sz w:val="22"/>
        </w:rPr>
        <w:t>Journal of Medical Virology.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[aleman2026]</w:t>
      </w:r>
    </w:p>
    <w:p>
      <w:pPr>
        <w:spacing w:after="40"/>
        <w:ind w:left="283"/>
      </w:pPr>
      <w:r>
        <w:rPr>
          <w:sz w:val="22"/>
        </w:rPr>
        <w:t>— Resistencia antiviral CMV en pacientes trasplantados: deep sequencing dirigido a genes de resistencia.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reciente.</w:t>
      </w:r>
    </w:p>
    <w:p>
      <w:pPr>
        <w:keepNext/>
        <w:spacing w:before="200" w:after="40"/>
      </w:pPr>
      <w:r>
        <w:rPr>
          <w:b/>
          <w:sz w:val="22"/>
        </w:rPr>
        <w:t xml:space="preserve">Nägele et al. (2025). </w:t>
      </w:r>
      <w:r>
        <w:rPr>
          <w:sz w:val="22"/>
        </w:rPr>
        <w:t xml:space="preserve">Revealing the Unseen: Next-Generation Sequencing for Early Detection of Drug-Resistant Cytomegalovirus Variants Upon Letermovir Prophylaxis Failure.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[nagele2025]</w:t>
      </w:r>
    </w:p>
    <w:p>
      <w:pPr>
        <w:spacing w:after="40"/>
        <w:ind w:left="283"/>
      </w:pPr>
      <w:r>
        <w:rPr>
          <w:sz w:val="22"/>
        </w:rPr>
        <w:t>— Detección precoz de subpoblaciones resistentes mediante secuenciación nanopore — case report. Demuestra que la nanoporo puede detectar MRA emergentes con tiempos de respuesta clínicamente útiles.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OJO: Es CASE REPORT, no cohorte. Cita como ejemplo de aplicación clínica de nanoporo, no como referencia cuantitativa.</w:t>
      </w:r>
    </w:p>
    <w:p>
      <w:pPr>
        <w:keepNext/>
        <w:spacing w:before="360" w:after="160"/>
      </w:pPr>
      <w:r>
        <w:rPr>
          <w:b/>
          <w:sz w:val="28"/>
        </w:rPr>
        <w:t>6.6.C — CHARMD: base de datos de mutaciones de resistencia</w:t>
      </w:r>
    </w:p>
    <w:p>
      <w:pPr>
        <w:keepNext/>
        <w:spacing w:before="200" w:after="40"/>
      </w:pPr>
      <w:r>
        <w:rPr>
          <w:b/>
          <w:sz w:val="22"/>
        </w:rPr>
        <w:t xml:space="preserve">Tilloy et al. (2024). </w:t>
      </w:r>
      <w:r>
        <w:rPr>
          <w:sz w:val="22"/>
        </w:rPr>
        <w:t xml:space="preserve">Comprehensive Herpesviruses Antiviral drug Resistance Mutation Database (CHARMD). </w:t>
      </w:r>
      <w:r>
        <w:rPr>
          <w:i/>
          <w:sz w:val="22"/>
        </w:rPr>
        <w:t>Antiviral Research.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[tilloy2024]</w:t>
      </w:r>
    </w:p>
    <w:p>
      <w:pPr>
        <w:spacing w:after="40"/>
        <w:ind w:left="283"/>
      </w:pPr>
      <w:r>
        <w:rPr>
          <w:sz w:val="22"/>
        </w:rPr>
        <w:t>— Base de datos comprehensive de mutaciones de resistencia antiviral en herpesvirus (CHARMD): clasifica MRA, MR, PN, VSI, VND para CMV en UL97, UL54, UL56 y otros genes.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ESTA ES LA REFERENCIA NORMATIVA del Estudio 2. Toda tu clasificación de variantes se apoya en CHARMD. Cita obligada.</w:t>
      </w:r>
    </w:p>
    <w:p>
      <w:pPr>
        <w:keepNext/>
        <w:spacing w:before="360" w:after="160"/>
      </w:pPr>
      <w:r>
        <w:rPr>
          <w:b/>
          <w:sz w:val="28"/>
        </w:rPr>
        <w:t>6.6.D — Polimorfismos naturales UL97/UL54</w:t>
      </w:r>
    </w:p>
    <w:p>
      <w:pPr>
        <w:keepNext/>
        <w:spacing w:before="200" w:after="40"/>
      </w:pPr>
      <w:r>
        <w:rPr>
          <w:b/>
          <w:sz w:val="22"/>
        </w:rPr>
        <w:t xml:space="preserve">Boutolleau et al. (2011). </w:t>
      </w:r>
      <w:r>
        <w:rPr>
          <w:sz w:val="22"/>
        </w:rPr>
        <w:t xml:space="preserve">Genotypic characterization of human cytomegalovirus UL97 phosphotransferase natural polymorphism in the era of ganciclovir and maribavir. </w:t>
      </w:r>
      <w:r>
        <w:rPr>
          <w:i/>
          <w:sz w:val="22"/>
        </w:rPr>
        <w:t>Antiviral Research.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[boutolleau2011]</w:t>
      </w:r>
    </w:p>
    <w:p>
      <w:pPr>
        <w:spacing w:after="40"/>
        <w:ind w:left="283"/>
      </w:pPr>
      <w:r>
        <w:rPr>
          <w:sz w:val="22"/>
        </w:rPr>
        <w:t>— Caracterización genotípica de polimorfismos naturales UL97 en la era ganciclovir-maribavir: análisis full-length de UL97 en 4 cepas de laboratorio + 35 muestras clínicas sin tratamiento previo. Identifica 10 nuevos polimorfismos no descritos.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Soporte directo para la reclasificación de D605E como polimorfismo natural en tu Estudio 2: Boutolleau analizó pacientes SIN exposición previa a antivirales y detectó polimorfismos naturales recurrentes, entre ellos D605E.</w:t>
      </w:r>
    </w:p>
    <w:p>
      <w:pPr>
        <w:keepNext/>
        <w:spacing w:before="200" w:after="40"/>
      </w:pPr>
      <w:r>
        <w:rPr>
          <w:b/>
          <w:sz w:val="22"/>
        </w:rPr>
        <w:t xml:space="preserve">Tamura et al. (2021). </w:t>
      </w:r>
      <w:r>
        <w:rPr>
          <w:sz w:val="22"/>
        </w:rPr>
        <w:t xml:space="preserve">Prevalence of UL97 gene mutations and polymorphisms in cytomegalovirus infection in the colon associated with or without ulcerative colitis. </w:t>
      </w:r>
      <w:r>
        <w:rPr>
          <w:i/>
          <w:sz w:val="22"/>
        </w:rPr>
        <w:t>Scientific Reports.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[tamura2021]</w:t>
      </w:r>
    </w:p>
    <w:p>
      <w:pPr>
        <w:spacing w:after="40"/>
        <w:ind w:left="283"/>
      </w:pPr>
      <w:r>
        <w:rPr>
          <w:sz w:val="22"/>
        </w:rPr>
        <w:t>— Prevalencia de mutaciones y polimorfismos en UL97 en infección colónica CMV asociada a colitis ulcerosa, en pacientes asiáticos GCV-naive: D605E presente en 86,4% de los pacientes; ausencia de mutaciones de resistencia conocidas.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Soporte epidemiológico definitivo a la reclasificación de D605E: en pacientes asiáticos sin exposición a GCV, D605E es la norma. Apoya tu decisión clínica de tratar D605E como PN. Tu hallazgo es coherente: RTP-2 mostraba D605E a 5,7% (m13).</w:t>
      </w:r>
    </w:p>
    <w:p>
      <w:pPr>
        <w:keepNext/>
        <w:spacing w:before="200" w:after="40"/>
      </w:pPr>
      <w:r>
        <w:rPr>
          <w:b/>
          <w:sz w:val="22"/>
        </w:rPr>
        <w:t xml:space="preserve">Yang et al. (2021). </w:t>
      </w:r>
      <w:r>
        <w:rPr>
          <w:sz w:val="22"/>
        </w:rPr>
        <w:t xml:space="preserve">Molecular Epidemiology of Cytomegalovirus UL97 and UL54 variants in Taiwan. </w:t>
      </w:r>
      <w:r>
        <w:rPr>
          <w:i/>
          <w:sz w:val="22"/>
        </w:rPr>
        <w:t>Journal of Microbiology, Immunology and Infection.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[yang2021]</w:t>
      </w:r>
    </w:p>
    <w:p>
      <w:pPr>
        <w:spacing w:after="40"/>
        <w:ind w:left="283"/>
      </w:pPr>
      <w:r>
        <w:rPr>
          <w:sz w:val="22"/>
        </w:rPr>
        <w:t>— Epidemiología molecular de variantes UL97 y UL54 en Taiwán: caracterización de polimorfismos y mutaciones en cohorte taiwanesa.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epidemiológico oriental.</w:t>
      </w:r>
    </w:p>
    <w:p>
      <w:pPr>
        <w:keepNext/>
        <w:spacing w:before="200" w:after="40"/>
      </w:pPr>
      <w:r>
        <w:rPr>
          <w:b/>
          <w:sz w:val="22"/>
        </w:rPr>
        <w:t xml:space="preserve">Chae et al. (2023). </w:t>
      </w:r>
      <w:r>
        <w:rPr>
          <w:sz w:val="22"/>
        </w:rPr>
        <w:t xml:space="preserve">Genetic Variants Associated with Drug Resistance of Cytomegalovirus in Hematopoietic Cell Transplantation Recipients. </w:t>
      </w:r>
      <w:r>
        <w:rPr>
          <w:i/>
          <w:sz w:val="22"/>
        </w:rPr>
        <w:t>Viruses.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[chae2023]</w:t>
      </w:r>
    </w:p>
    <w:p>
      <w:pPr>
        <w:spacing w:after="40"/>
        <w:ind w:left="283"/>
      </w:pPr>
      <w:r>
        <w:rPr>
          <w:sz w:val="22"/>
        </w:rPr>
        <w:t>— Variantes genéticas asociadas con resistencia antiviral CMV en receptores de TPH: cohorte coreana con caracterización por NGS.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Comparable.</w:t>
      </w:r>
    </w:p>
    <w:p>
      <w:pPr>
        <w:keepNext/>
        <w:spacing w:before="360" w:after="160"/>
      </w:pPr>
      <w:r>
        <w:rPr>
          <w:b/>
          <w:sz w:val="28"/>
        </w:rPr>
        <w:t>6.6.E — Prevalencia de resistencias antivirales en cohortes de trasplante</w:t>
      </w:r>
    </w:p>
    <w:p>
      <w:pPr>
        <w:keepNext/>
        <w:spacing w:before="200" w:after="40"/>
      </w:pPr>
      <w:r>
        <w:rPr>
          <w:b/>
          <w:sz w:val="22"/>
        </w:rPr>
        <w:t xml:space="preserve">Lurain y Chou (2010). </w:t>
      </w:r>
      <w:r>
        <w:rPr>
          <w:sz w:val="22"/>
        </w:rPr>
        <w:t xml:space="preserve">Antiviral Drug Resistance of Human Cytomegalovirus. </w:t>
      </w:r>
      <w:r>
        <w:rPr>
          <w:i/>
          <w:sz w:val="22"/>
        </w:rPr>
        <w:t>Clinical Microbiology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[lurain2010]</w:t>
      </w:r>
    </w:p>
    <w:p>
      <w:pPr>
        <w:spacing w:after="40"/>
        <w:ind w:left="283"/>
      </w:pPr>
      <w:r>
        <w:rPr>
          <w:sz w:val="22"/>
        </w:rPr>
        <w:t>— Resistencia a antivirales de HCMV: revisión clásica con marco conceptual y mecanismos moleculares (UL97, UL54).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histórica para la introducción del Estudio 2.</w:t>
      </w:r>
    </w:p>
    <w:p>
      <w:pPr>
        <w:keepNext/>
        <w:spacing w:before="200" w:after="40"/>
      </w:pPr>
      <w:r>
        <w:rPr>
          <w:b/>
          <w:sz w:val="22"/>
        </w:rPr>
        <w:t xml:space="preserve">Kleiboeker et al. (2014). </w:t>
      </w:r>
      <w:r>
        <w:rPr>
          <w:sz w:val="22"/>
        </w:rPr>
        <w:t xml:space="preserve">Cytomegalovirus antiviral resistance: characterization of results from clinical specimens.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[kleiboeker2014]</w:t>
      </w:r>
    </w:p>
    <w:p>
      <w:pPr>
        <w:spacing w:after="40"/>
        <w:ind w:left="283"/>
      </w:pPr>
      <w:r>
        <w:rPr>
          <w:sz w:val="22"/>
        </w:rPr>
        <w:t>— Caracterización de resultados de resistencia antiviral en muestras clínicas: prevalencia, perfil de mutaciones, asociación con tratamiento previo.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Comparable.</w:t>
      </w:r>
    </w:p>
    <w:p>
      <w:pPr>
        <w:keepNext/>
        <w:spacing w:before="200" w:after="40"/>
      </w:pPr>
      <w:r>
        <w:rPr>
          <w:b/>
          <w:sz w:val="22"/>
        </w:rPr>
        <w:t xml:space="preserve">Kleiboeker (2023). </w:t>
      </w:r>
      <w:r>
        <w:rPr>
          <w:sz w:val="22"/>
        </w:rPr>
        <w:t xml:space="preserve">Prevalence of cytomegalovirus antiviral drug resistance in transplant recipients. </w:t>
      </w:r>
      <w:r>
        <w:rPr>
          <w:i/>
          <w:sz w:val="22"/>
        </w:rPr>
        <w:t>Antiviral Research.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[kleiboeker2023]</w:t>
      </w:r>
    </w:p>
    <w:p>
      <w:pPr>
        <w:spacing w:after="40"/>
        <w:ind w:left="283"/>
      </w:pPr>
      <w:r>
        <w:rPr>
          <w:sz w:val="22"/>
        </w:rPr>
        <w:t>— Prevalencia de resistencia antiviral CMV en receptores de trasplante: cohorte amplia con datos por tipo de órgano y tipo de trasplante.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directo. Útil para enmarcar tu Estudio 2 (1/11 RTP con MRA confirmadas).</w:t>
      </w:r>
    </w:p>
    <w:p>
      <w:pPr>
        <w:keepNext/>
        <w:spacing w:before="360" w:after="160"/>
      </w:pPr>
      <w:r>
        <w:rPr>
          <w:b/>
          <w:sz w:val="28"/>
        </w:rPr>
        <w:t>6.6.F — Resistencias antivirales específicamente en RTP</w:t>
      </w:r>
    </w:p>
    <w:p>
      <w:pPr>
        <w:keepNext/>
        <w:spacing w:before="200" w:after="40"/>
      </w:pPr>
      <w:r>
        <w:rPr>
          <w:b/>
          <w:sz w:val="22"/>
        </w:rPr>
        <w:t xml:space="preserve">Gagermeier et al. (2014). </w:t>
      </w:r>
      <w:r>
        <w:rPr>
          <w:sz w:val="22"/>
        </w:rPr>
        <w:t xml:space="preserve">Subtherapeutic ganciclovir ( &lt;span style="font-variant:small-caps;"&gt;GCV&lt;/span&gt; ) levels and &lt;span style="font-variant:small-caps;"&gt;GCV&lt;/span&gt; ‐resistant cytomegalovirus in lung transplant recipients. </w:t>
      </w:r>
      <w:r>
        <w:rPr>
          <w:i/>
          <w:sz w:val="22"/>
        </w:rPr>
        <w:t>Transplant Infectious Disease.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[gagermeier2014]</w:t>
      </w:r>
    </w:p>
    <w:p>
      <w:pPr>
        <w:spacing w:after="40"/>
        <w:ind w:left="283"/>
      </w:pPr>
      <w:r>
        <w:rPr>
          <w:sz w:val="22"/>
        </w:rPr>
        <w:t>— Niveles subterapéuticos de ganciclovir asociados con desarrollo de resistencia y enfermedad CMV en RTP: la subdosificación es factor de riesgo.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interpretación de que el desarrollo de MRA en RTP-2 puede haberse facilitado por suspensión de profilaxis precoz y replicación bajo presión antiviral subóptima.</w:t>
      </w:r>
    </w:p>
    <w:p>
      <w:pPr>
        <w:keepNext/>
        <w:spacing w:before="200" w:after="40"/>
      </w:pPr>
      <w:r>
        <w:rPr>
          <w:b/>
          <w:sz w:val="22"/>
        </w:rPr>
        <w:t xml:space="preserve">Fisher et al. (2017). </w:t>
      </w:r>
      <w:r>
        <w:rPr>
          <w:sz w:val="22"/>
        </w:rPr>
        <w:t xml:space="preserve">Risk Factors and Outcomes of Ganciclovir-Resistant Cytomegalovirus Infection in Solid Organ Transplant Recipients. </w:t>
      </w:r>
      <w:r>
        <w:rPr>
          <w:i/>
          <w:sz w:val="22"/>
        </w:rPr>
        <w:t>Clinical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[fisher2017a]</w:t>
      </w:r>
    </w:p>
    <w:p>
      <w:pPr>
        <w:spacing w:after="40"/>
        <w:ind w:left="283"/>
      </w:pPr>
      <w:r>
        <w:rPr>
          <w:sz w:val="22"/>
        </w:rPr>
        <w:t>— Factores de riesgo y desenlaces de resistencia GCV en TOS: D+/R-, replicación persistente bajo profilaxis y dosis subóptimas son los principales factores.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al perfil de RTP-2 en tu Estudio 2: D+/R- mal clasificada como D-/R-, sin profilaxis primaria, replicación persistente, MRA documentadas.</w:t>
      </w:r>
    </w:p>
    <w:p>
      <w:pPr>
        <w:keepNext/>
        <w:spacing w:before="200" w:after="40"/>
      </w:pPr>
      <w:r>
        <w:rPr>
          <w:b/>
          <w:sz w:val="22"/>
        </w:rPr>
        <w:t xml:space="preserve">Heliövaara et al. (2019). </w:t>
      </w:r>
      <w:r>
        <w:rPr>
          <w:sz w:val="22"/>
        </w:rPr>
        <w:t xml:space="preserve">Drug-resistant cytomegalovirus infection after lung transplantation: Incidence, characteristics, and clinical outcomes. </w:t>
      </w:r>
      <w:r>
        <w:rPr>
          <w:i/>
          <w:sz w:val="22"/>
        </w:rPr>
        <w:t>The Journal of Heart and Lung Transplantation.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[heliovaara2019b]</w:t>
      </w:r>
    </w:p>
    <w:p>
      <w:pPr>
        <w:spacing w:after="40"/>
        <w:ind w:left="283"/>
      </w:pPr>
      <w:r>
        <w:rPr>
          <w:sz w:val="22"/>
        </w:rPr>
        <w:t>— Infección CMV resistente a fármacos tras RTP: incidencia, características y desenlaces clínicos. Cohorte específica de RTP.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Comparable directo de tu cohorte. Permite enmarcar la baja prevalencia (1/11) de MRA confirmadas en tu Estudio 2 en el contexto de la incidencia descrita en RTP.</w:t>
      </w:r>
    </w:p>
    <w:p>
      <w:pPr>
        <w:keepNext/>
        <w:spacing w:before="360" w:after="160"/>
      </w:pPr>
      <w:r>
        <w:rPr>
          <w:b/>
          <w:sz w:val="28"/>
        </w:rPr>
        <w:t>6.6.G — Casos clínicos de resistencia múltiple</w:t>
      </w:r>
    </w:p>
    <w:p>
      <w:pPr>
        <w:keepNext/>
        <w:spacing w:before="200" w:after="40"/>
      </w:pPr>
      <w:r>
        <w:rPr>
          <w:b/>
          <w:sz w:val="22"/>
        </w:rPr>
        <w:t xml:space="preserve">Le Page et al. (2013). </w:t>
      </w:r>
      <w:r>
        <w:rPr>
          <w:sz w:val="22"/>
        </w:rPr>
        <w:t xml:space="preserve">Clinical Aspects of Cytomegalovirus Antiviral Resistance in Solid Organ Transplant Recipients. </w:t>
      </w:r>
      <w:r>
        <w:rPr>
          <w:i/>
          <w:sz w:val="22"/>
        </w:rPr>
        <w:t>Clinical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[lepage2013a]</w:t>
      </w:r>
    </w:p>
    <w:p>
      <w:pPr>
        <w:spacing w:after="40"/>
        <w:ind w:left="283"/>
      </w:pPr>
      <w:r>
        <w:rPr>
          <w:sz w:val="22"/>
        </w:rPr>
        <w:t>— Aspectos clínicos de la resistencia antiviral CMV en TOS: resumen de presentaciones clínicas y opciones terapéuticas.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complementaria.</w:t>
      </w:r>
    </w:p>
    <w:p>
      <w:pPr>
        <w:keepNext/>
        <w:spacing w:before="200" w:after="40"/>
      </w:pPr>
      <w:r>
        <w:rPr>
          <w:b/>
          <w:sz w:val="22"/>
        </w:rPr>
        <w:t xml:space="preserve">Santos Bravo et al. (2022). </w:t>
      </w:r>
      <w:r>
        <w:rPr>
          <w:sz w:val="22"/>
        </w:rPr>
        <w:t xml:space="preserve">Genotypic and Phenotypic Study of Antiviral Resistance Mutations in Refractory Cytomegalovirus Infection. </w:t>
      </w:r>
      <w:r>
        <w:rPr>
          <w:i/>
          <w:sz w:val="22"/>
        </w:rPr>
        <w:t>The Journal of Infectious Diseases.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[santosbravo2022]</w:t>
      </w:r>
    </w:p>
    <w:p>
      <w:pPr>
        <w:spacing w:after="40"/>
        <w:ind w:left="283"/>
      </w:pPr>
      <w:r>
        <w:rPr>
          <w:sz w:val="22"/>
        </w:rPr>
        <w:t>— Estudio genotípico y fenotípico de mutaciones de resistencia en CMV refractario en cohorte del Hospital Clínic.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Comparable directo en el ámbito español. Permite contextualizar tu RTP-2 en el panorama nacional.</w:t>
      </w:r>
    </w:p>
    <w:p>
      <w:pPr>
        <w:keepNext/>
        <w:spacing w:before="200" w:after="40"/>
      </w:pPr>
      <w:r>
        <w:rPr>
          <w:b/>
          <w:sz w:val="22"/>
        </w:rPr>
        <w:t xml:space="preserve">Wagner et al. (2026). </w:t>
      </w:r>
      <w:r>
        <w:rPr>
          <w:sz w:val="22"/>
        </w:rPr>
        <w:t xml:space="preserve">Probable reactivation from latency of multidrug-resistant cytomegalovirus in a lung transplant recipient: A case report. </w:t>
      </w:r>
      <w:r>
        <w:rPr>
          <w:i/>
          <w:sz w:val="22"/>
        </w:rPr>
        <w:t>American Journal of Transplantation.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[wagner2026]</w:t>
      </w:r>
    </w:p>
    <w:p>
      <w:pPr>
        <w:spacing w:after="40"/>
        <w:ind w:left="283"/>
      </w:pPr>
      <w:r>
        <w:rPr>
          <w:sz w:val="22"/>
        </w:rPr>
        <w:t>— Probable reactivación desde latencia de CMV multirresistente en RTP: case report. La reactivación puede portar MRA sin presión antiviral activa concomitante.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CRÍTICO. Apoyo directo al caso de RTP-2: las MRA aparecen tempranamente y persisten. Permite discutir que la cepa donante podría haber portado MRA latentes que se reactivaron sin presión antiviral inicial. Excelente paralelismo.</w:t>
      </w:r>
    </w:p>
    <w:p>
      <w:pPr>
        <w:keepNext/>
        <w:spacing w:before="360" w:after="160"/>
      </w:pPr>
      <w:r>
        <w:rPr>
          <w:b/>
          <w:sz w:val="28"/>
        </w:rPr>
        <w:t>6.6.H — Letermovir y maribavir: resistencias y manejo</w:t>
      </w:r>
    </w:p>
    <w:p>
      <w:pPr>
        <w:keepNext/>
        <w:spacing w:before="200" w:after="40"/>
      </w:pPr>
      <w:r>
        <w:rPr>
          <w:b/>
          <w:sz w:val="22"/>
        </w:rPr>
        <w:t xml:space="preserve">Douglas et al. (2020). </w:t>
      </w:r>
      <w:r>
        <w:rPr>
          <w:sz w:val="22"/>
        </w:rPr>
        <w:t xml:space="preserve">Letermovir Resistance Analysis in a Clinical Trial of Cytomegalovirus Prophylaxis for Hematopoietic Stem Cell Transplant Recipients.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[douglas2020]</w:t>
      </w:r>
    </w:p>
    <w:p>
      <w:pPr>
        <w:spacing w:after="40"/>
        <w:ind w:left="283"/>
      </w:pPr>
      <w:r>
        <w:rPr>
          <w:sz w:val="22"/>
        </w:rPr>
        <w:t>— Análisis de resistencia a letermovir en ensayo clínico de profilaxis CMV: identifica perfiles UL56 y UL51.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interpretación de las VND UL56 detectadas en tu cohorte.</w:t>
      </w:r>
    </w:p>
    <w:p>
      <w:pPr>
        <w:keepNext/>
        <w:spacing w:before="200" w:after="40"/>
      </w:pPr>
      <w:r>
        <w:rPr>
          <w:b/>
          <w:sz w:val="22"/>
        </w:rPr>
        <w:t xml:space="preserve">Strizki et al. (2024). </w:t>
      </w:r>
      <w:r>
        <w:rPr>
          <w:sz w:val="22"/>
        </w:rPr>
        <w:t xml:space="preserve">Cytomegalovirus Antiviral Resistance Among Kidney Transplant Recipients in a Phase 3 Trial of Letermovir vs Valganciclovir Prophylaxis.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[strizki2024]</w:t>
      </w:r>
    </w:p>
    <w:p>
      <w:pPr>
        <w:spacing w:after="40"/>
        <w:ind w:left="283"/>
      </w:pPr>
      <w:r>
        <w:rPr>
          <w:sz w:val="22"/>
        </w:rPr>
        <w:t>— Resistencia antiviral CMV en RTR en ensayo de fase 3 con letermovir: perfil de mutaciones emergentes bajo presión LMV.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Comparable reciente para resistencia LMV.</w:t>
      </w:r>
    </w:p>
    <w:p>
      <w:pPr>
        <w:keepNext/>
        <w:spacing w:before="200" w:after="40"/>
      </w:pPr>
      <w:r>
        <w:rPr>
          <w:b/>
          <w:sz w:val="22"/>
        </w:rPr>
        <w:t xml:space="preserve">Mezochow et al. (2025). </w:t>
      </w:r>
      <w:r>
        <w:rPr>
          <w:sz w:val="22"/>
        </w:rPr>
        <w:t xml:space="preserve">Letermovir should be first-line cytomegalovirus prophylaxis in lung transplant recipients.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[mezochow2025]</w:t>
      </w:r>
    </w:p>
    <w:p>
      <w:pPr>
        <w:spacing w:after="40"/>
        <w:ind w:left="283"/>
      </w:pPr>
      <w:r>
        <w:rPr>
          <w:sz w:val="22"/>
        </w:rPr>
        <w:t>— Letermovir como profilaxis primaria en RTP: argumento basado en evidencia.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pertinencia de LMV como profilaxis primaria en alto riesgo, en línea con la guía Kotton 2025.</w:t>
      </w:r>
    </w:p>
    <w:p>
      <w:pPr>
        <w:keepNext/>
        <w:spacing w:before="360" w:after="160"/>
      </w:pPr>
      <w:r>
        <w:rPr>
          <w:b/>
          <w:sz w:val="28"/>
        </w:rPr>
        <w:t>6.6.I — Manejo del CMV refractario / resistente</w:t>
      </w:r>
    </w:p>
    <w:p>
      <w:pPr>
        <w:keepNext/>
        <w:spacing w:before="200" w:after="40"/>
      </w:pPr>
      <w:r>
        <w:rPr>
          <w:b/>
          <w:sz w:val="22"/>
        </w:rPr>
        <w:t xml:space="preserve">Silva et al. (2018). </w:t>
      </w:r>
      <w:r>
        <w:rPr>
          <w:sz w:val="22"/>
        </w:rPr>
        <w:t xml:space="preserve">Experience with leflunomide as treatment and as secondary prophylaxis for cytomegalovirus infection in lung transplant recipients: A case series and review of the literature. </w:t>
      </w:r>
      <w:r>
        <w:rPr>
          <w:i/>
          <w:sz w:val="22"/>
        </w:rPr>
        <w:t>Clinical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[silva2018]</w:t>
      </w:r>
    </w:p>
    <w:p>
      <w:pPr>
        <w:spacing w:after="40"/>
        <w:ind w:left="283"/>
      </w:pPr>
      <w:r>
        <w:rPr>
          <w:sz w:val="22"/>
        </w:rPr>
        <w:t>— Experiencia con leflunomida como tratamiento y profilaxis secundaria de CMV: alternativa de rescate en R/r.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decisión de añadir leflunomida en RTP-2.</w:t>
      </w:r>
    </w:p>
    <w:p>
      <w:pPr>
        <w:keepNext/>
        <w:spacing w:before="200" w:after="40"/>
      </w:pPr>
      <w:r>
        <w:rPr>
          <w:b/>
          <w:sz w:val="22"/>
        </w:rPr>
        <w:t xml:space="preserve">Umemura et al. (2025). </w:t>
      </w:r>
      <w:r>
        <w:rPr>
          <w:sz w:val="22"/>
        </w:rPr>
        <w:t xml:space="preserve">Optimizing cytomegalovirus treatment through therapeutic drug monitoring in a ganciclovir-unresponsive lung transplant recipient. </w:t>
      </w:r>
      <w:r>
        <w:rPr>
          <w:i/>
          <w:sz w:val="22"/>
        </w:rPr>
        <w:t>Journal of Infection and Chemotherapy.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[umemura2025]</w:t>
      </w:r>
    </w:p>
    <w:p>
      <w:pPr>
        <w:spacing w:after="40"/>
        <w:ind w:left="283"/>
      </w:pPr>
      <w:r>
        <w:rPr>
          <w:sz w:val="22"/>
        </w:rPr>
        <w:t>— Optimización del tratamiento CMV mediante monitorización terapéutica de fármaco en infección refractaria a ganciclovir.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individualización del tratamiento.</w:t>
      </w:r>
    </w:p>
    <w:p>
      <w:pPr>
        <w:keepNext/>
        <w:spacing w:before="200" w:after="40"/>
      </w:pPr>
      <w:r>
        <w:rPr>
          <w:b/>
          <w:sz w:val="22"/>
        </w:rPr>
        <w:t xml:space="preserve">Bisono‐Garcia et al. (2026). </w:t>
      </w:r>
      <w:r>
        <w:rPr>
          <w:sz w:val="22"/>
        </w:rPr>
        <w:t xml:space="preserve">Refractory, Resistant and Recurrent Cytomegalovirus Infections in Solid Organ Transplant Recipients: Risk Factors and Clinical Outcomes. </w:t>
      </w:r>
      <w:r>
        <w:rPr>
          <w:i/>
          <w:sz w:val="22"/>
        </w:rPr>
        <w:t>Clinical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[bisono-garcia2026a]</w:t>
      </w:r>
    </w:p>
    <w:p>
      <w:pPr>
        <w:spacing w:after="40"/>
        <w:ind w:left="283"/>
      </w:pPr>
      <w:r>
        <w:rPr>
          <w:sz w:val="22"/>
        </w:rPr>
        <w:t>— CMV refractario, resistente y recurrente en TOS: revisión actualizada del manejo.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pertinencia de tu Estudio 2 en el panorama actual del manejo del CMV R/r.</w:t>
      </w:r>
    </w:p>
    <w:p>
      <w:pPr>
        <w:keepNext/>
        <w:spacing w:before="480" w:after="240"/>
      </w:pPr>
      <w:r>
        <w:rPr>
          <w:b/>
          <w:sz w:val="36"/>
        </w:rPr>
        <w:t>Apartado 6.7 — Vacunas frente a CMV</w:t>
      </w:r>
    </w:p>
    <w:p>
      <w:pPr>
        <w:spacing w:after="120"/>
      </w:pPr>
      <w:r>
        <w:rPr>
          <w:b w:val="0"/>
          <w:i w:val="0"/>
          <w:sz w:val="22"/>
        </w:rPr>
        <w:t>Las referencias específicas de este apartado se han tratado en la sección 6.2.C (subanálisis serológico) — ver Baraniak 2018, Vietzen 2018d/2020a, Nelson 2019, Eberhard 2021, Zavaglio 2021. Aquí se añaden citas adicionales no presentes en el JSON pero referenciables para tu discusión sobre vacunas.</w:t>
      </w:r>
    </w:p>
    <w:p>
      <w:pPr>
        <w:keepNext/>
        <w:spacing w:before="360" w:after="160"/>
      </w:pPr>
      <w:r>
        <w:rPr>
          <w:b/>
          <w:sz w:val="28"/>
        </w:rPr>
        <w:t>Cita cruzada — referencias clave</w:t>
      </w:r>
    </w:p>
    <w:p>
      <w:pPr>
        <w:keepNext/>
        <w:spacing w:before="200" w:after="40"/>
      </w:pPr>
      <w:r>
        <w:rPr>
          <w:b/>
          <w:sz w:val="22"/>
        </w:rPr>
        <w:t xml:space="preserve">Baraniak et al. (2018). </w:t>
      </w:r>
      <w:r>
        <w:rPr>
          <w:sz w:val="22"/>
        </w:rPr>
        <w:t xml:space="preserve">Epitope-Specific Humoral Responses to Human Cytomegalovirus Glycoprotein-B Vaccine With MF59: Anti-AD2 Levels Correlate With Protection From Viremia. </w:t>
      </w:r>
      <w:r>
        <w:rPr>
          <w:i/>
          <w:sz w:val="22"/>
        </w:rPr>
        <w:t>The Journal of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[baraniak2018]</w:t>
      </w:r>
    </w:p>
    <w:p>
      <w:pPr>
        <w:spacing w:after="40"/>
        <w:ind w:left="283"/>
      </w:pPr>
      <w:r>
        <w:rPr>
          <w:sz w:val="22"/>
        </w:rPr>
        <w:t>— (Ya tratada en 6.2.C.) Vacuna gB/MF59 — anticuerpos anti-AD2 correlacionan con protección frente a viremia.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Argumento central: una vacuna efectiva debe inducir respuesta a epítopos AD2 conservados.</w:t>
      </w:r>
    </w:p>
    <w:p>
      <w:pPr>
        <w:keepNext/>
        <w:spacing w:before="200" w:after="40"/>
      </w:pPr>
      <w:r>
        <w:rPr>
          <w:b/>
          <w:sz w:val="22"/>
        </w:rPr>
        <w:t xml:space="preserve">Zavaglio et al. (2021). </w:t>
      </w:r>
      <w:r>
        <w:rPr>
          <w:sz w:val="22"/>
        </w:rPr>
        <w:t xml:space="preserve">Detection of Genotype-Specific Antibody Responses to Glycoproteins B and H in Primary and Non-Primary Human Cytomegalovirus Infections by Peptide-Based ELISA. </w:t>
      </w:r>
      <w:r>
        <w:rPr>
          <w:i/>
          <w:sz w:val="22"/>
        </w:rPr>
        <w:t>Viruses.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[zavaglio2021]</w:t>
      </w:r>
    </w:p>
    <w:p>
      <w:pPr>
        <w:spacing w:after="40"/>
        <w:ind w:left="283"/>
      </w:pPr>
      <w:r>
        <w:rPr>
          <w:sz w:val="22"/>
        </w:rPr>
        <w:t>— (Ya tratada en 6.2.C.) Respuestas IgG genotipo-específicas a gB y gH en primaria y reactivación.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Argumento central para tu hipótesis: una vacuna monogenotípica (solo gB1, p. ej.) no protegería frente a la diversidad real de cepas circulantes; tu V Cramér 0,392 entre gB y gH evidencia que las combinaciones son no aleatorias y que cualquier diseño vacunal debe contemplar la combinatoria real.</w:t>
      </w:r>
    </w:p>
    <w:p>
      <w:pPr>
        <w:keepNext/>
        <w:spacing w:before="360" w:after="160"/>
      </w:pPr>
      <w:r>
        <w:rPr>
          <w:b/>
          <w:sz w:val="28"/>
        </w:rPr>
        <w:t>Referencias adicionales pertinentes (no presentes en LITERATURAv5.json)</w:t>
      </w:r>
    </w:p>
    <w:p>
      <w:pPr>
        <w:spacing w:after="120"/>
      </w:pPr>
      <w:r>
        <w:rPr>
          <w:b w:val="0"/>
          <w:i w:val="0"/>
          <w:sz w:val="22"/>
        </w:rPr>
        <w:t>Las siguientes referencias son útiles para la discusión sobre vacunas pero no están en el JSON aportado; se sugiere añadirlas al gestor bibliográfico:</w:t>
      </w:r>
    </w:p>
    <w:p>
      <w:pPr>
        <w:spacing w:after="120"/>
      </w:pPr>
      <w:r>
        <w:rPr>
          <w:b w:val="0"/>
          <w:i/>
          <w:sz w:val="20"/>
        </w:rPr>
        <w:t>— Pass et al. NEJM 2009 — primer ensayo gB/MF59 en mujeres seronegativas con eficacia ~50%.</w:t>
      </w:r>
    </w:p>
    <w:p>
      <w:pPr>
        <w:spacing w:after="120"/>
      </w:pPr>
      <w:r>
        <w:rPr>
          <w:b w:val="0"/>
          <w:i/>
          <w:sz w:val="20"/>
        </w:rPr>
        <w:t>— Griffiths et al. Lancet 2011 — gB/MF59 en TOS reduce duración de viremia.</w:t>
      </w:r>
    </w:p>
    <w:p>
      <w:pPr>
        <w:spacing w:after="120"/>
      </w:pPr>
      <w:r>
        <w:rPr>
          <w:b w:val="0"/>
          <w:i/>
          <w:sz w:val="20"/>
        </w:rPr>
        <w:t>— Plotkin &amp; Boppana 2018 — revisión completa de vacunas CMV.</w:t>
      </w:r>
    </w:p>
    <w:p>
      <w:pPr>
        <w:spacing w:after="120"/>
      </w:pPr>
      <w:r>
        <w:rPr>
          <w:b w:val="0"/>
          <w:i/>
          <w:sz w:val="20"/>
        </w:rPr>
        <w:t>— Hu et al. 2022 / Panther et al. 2024 — mRNA-1647 (Moderna) como vacuna pentamérica.</w:t>
      </w:r>
    </w:p>
    <w:p>
      <w:pPr>
        <w:spacing w:after="120"/>
      </w:pPr>
      <w:r>
        <w:rPr>
          <w:b w:val="0"/>
          <w:i/>
          <w:sz w:val="20"/>
        </w:rPr>
        <w:t>— Loughney et al. 2015 — pentamérica gH/gL/UL128-130-131A.</w:t>
      </w:r>
    </w:p>
    <w:p>
      <w:pPr>
        <w:spacing w:after="120"/>
      </w:pPr>
      <w:r>
        <w:rPr>
          <w:b w:val="0"/>
          <w:i/>
          <w:sz w:val="20"/>
        </w:rPr>
        <w:t>— Lilleri et al. 2013 — caracterización inmunogénica.</w:t>
      </w:r>
    </w:p>
    <w:p>
      <w:pPr>
        <w:keepNext/>
        <w:spacing w:before="480" w:after="240"/>
      </w:pPr>
      <w:r>
        <w:rPr>
          <w:b/>
          <w:sz w:val="36"/>
        </w:rPr>
        <w:t>Apartado 6.8 — Profilaxis y manejo postrasplante pulmonar</w:t>
      </w:r>
    </w:p>
    <w:p>
      <w:pPr>
        <w:spacing w:after="120"/>
      </w:pPr>
      <w:r>
        <w:rPr>
          <w:b w:val="0"/>
          <w:i w:val="0"/>
          <w:sz w:val="22"/>
        </w:rPr>
        <w:t>Este apartado agrupa las referencias sobre estrategias profilácticas (universal, preemptiva), duración óptima en RTP D+/R-, comparación valganciclovir vs ganciclovir IV, profilaxis con letermovir, y muestras de BAL para diagnóstico de neumonitis CMV.</w:t>
      </w:r>
    </w:p>
    <w:p>
      <w:pPr>
        <w:keepNext/>
        <w:spacing w:before="360" w:after="160"/>
      </w:pPr>
      <w:r>
        <w:rPr>
          <w:b/>
          <w:sz w:val="28"/>
        </w:rPr>
        <w:t>6.8.A — Profilaxis: duración, eficacia y reacciones adversas</w:t>
      </w:r>
    </w:p>
    <w:p>
      <w:pPr>
        <w:keepNext/>
        <w:spacing w:before="200" w:after="80"/>
      </w:pPr>
      <w:r>
        <w:rPr>
          <w:b/>
          <w:i/>
          <w:sz w:val="22"/>
        </w:rPr>
        <w:t>Resumen cronológico de descubrimientos</w:t>
      </w:r>
    </w:p>
    <w:p>
      <w:pPr>
        <w:spacing w:after="40"/>
        <w:ind w:left="283"/>
      </w:pPr>
      <w:r>
        <w:rPr>
          <w:b/>
          <w:sz w:val="20"/>
        </w:rPr>
        <w:t xml:space="preserve">2007 </w:t>
      </w:r>
      <w:r>
        <w:rPr>
          <w:b/>
          <w:i/>
          <w:sz w:val="20"/>
        </w:rPr>
        <w:t xml:space="preserve">— Valganciclovir oral no inferior a GCV IV: </w:t>
      </w:r>
      <w:r>
        <w:rPr>
          <w:sz w:val="20"/>
        </w:rPr>
        <w:t>Asberg et al. — VICTOR study.</w:t>
      </w:r>
    </w:p>
    <w:p>
      <w:pPr>
        <w:spacing w:after="40"/>
        <w:ind w:left="283"/>
      </w:pPr>
      <w:r>
        <w:rPr>
          <w:b/>
          <w:sz w:val="20"/>
        </w:rPr>
        <w:t xml:space="preserve">2014 </w:t>
      </w:r>
      <w:r>
        <w:rPr>
          <w:b/>
          <w:i/>
          <w:sz w:val="20"/>
        </w:rPr>
        <w:t xml:space="preserve">— Profilaxis vs preemptiva — desenlaces a largo plazo: </w:t>
      </w:r>
      <w:r>
        <w:rPr>
          <w:sz w:val="20"/>
        </w:rPr>
        <w:t>Meije et al.</w:t>
      </w:r>
    </w:p>
    <w:p>
      <w:pPr>
        <w:spacing w:after="40"/>
        <w:ind w:left="283"/>
      </w:pPr>
      <w:r>
        <w:rPr>
          <w:b/>
          <w:sz w:val="20"/>
        </w:rPr>
        <w:t xml:space="preserve">2017 </w:t>
      </w:r>
      <w:r>
        <w:rPr>
          <w:b/>
          <w:i/>
          <w:sz w:val="20"/>
        </w:rPr>
        <w:t xml:space="preserve">— Recurrencia y duración de antivirales: </w:t>
      </w:r>
      <w:r>
        <w:rPr>
          <w:sz w:val="20"/>
        </w:rPr>
        <w:t>Natori et al.</w:t>
      </w:r>
    </w:p>
    <w:p>
      <w:pPr>
        <w:spacing w:after="40"/>
        <w:ind w:left="283"/>
      </w:pPr>
      <w:r>
        <w:rPr>
          <w:b/>
          <w:sz w:val="20"/>
        </w:rPr>
        <w:t xml:space="preserve">2019 </w:t>
      </w:r>
      <w:r>
        <w:rPr>
          <w:b/>
          <w:i/>
          <w:sz w:val="20"/>
        </w:rPr>
        <w:t xml:space="preserve">— Profilaxis durante y tras: </w:t>
      </w:r>
      <w:r>
        <w:rPr>
          <w:sz w:val="20"/>
        </w:rPr>
        <w:t>Chang et al.</w:t>
      </w:r>
    </w:p>
    <w:p>
      <w:pPr>
        <w:spacing w:after="40"/>
        <w:ind w:left="283"/>
      </w:pPr>
      <w:r>
        <w:rPr>
          <w:b/>
          <w:sz w:val="20"/>
        </w:rPr>
        <w:t xml:space="preserve">2020 </w:t>
      </w:r>
      <w:r>
        <w:rPr>
          <w:b/>
          <w:i/>
          <w:sz w:val="20"/>
        </w:rPr>
        <w:t xml:space="preserve">— Profilaxis extendida en RTP D+/R- a 12m vs 18m: </w:t>
      </w:r>
      <w:r>
        <w:rPr>
          <w:sz w:val="20"/>
        </w:rPr>
        <w:t>Herrera et al.</w:t>
      </w:r>
    </w:p>
    <w:p>
      <w:pPr>
        <w:spacing w:after="40"/>
        <w:ind w:left="283"/>
      </w:pPr>
      <w:r>
        <w:rPr>
          <w:b/>
          <w:sz w:val="20"/>
        </w:rPr>
        <w:t xml:space="preserve">2024 </w:t>
      </w:r>
      <w:r>
        <w:rPr>
          <w:b/>
          <w:i/>
          <w:sz w:val="20"/>
        </w:rPr>
        <w:t xml:space="preserve">— Análisis multicéntrico VGCV pediátrico: </w:t>
      </w:r>
      <w:r>
        <w:rPr>
          <w:sz w:val="20"/>
        </w:rPr>
        <w:t>Foca et al.</w:t>
      </w:r>
    </w:p>
    <w:p>
      <w:pPr>
        <w:spacing w:after="40"/>
        <w:ind w:left="283"/>
      </w:pPr>
      <w:r>
        <w:rPr>
          <w:b/>
          <w:sz w:val="20"/>
        </w:rPr>
        <w:t xml:space="preserve">2025 </w:t>
      </w:r>
      <w:r>
        <w:rPr>
          <w:b/>
          <w:i/>
          <w:sz w:val="20"/>
        </w:rPr>
        <w:t xml:space="preserve">— Tratamiento preemptivo: efectividad: </w:t>
      </w:r>
      <w:r>
        <w:rPr>
          <w:sz w:val="20"/>
        </w:rPr>
        <w:t>Vernooij et al.; Dobrer et al.</w:t>
      </w:r>
    </w:p>
    <w:p>
      <w:pPr>
        <w:keepNext/>
        <w:spacing w:before="200" w:after="40"/>
      </w:pPr>
      <w:r>
        <w:rPr>
          <w:b/>
          <w:sz w:val="22"/>
        </w:rPr>
        <w:t xml:space="preserve">Asberg et al. (2007). </w:t>
      </w:r>
      <w:r>
        <w:rPr>
          <w:sz w:val="22"/>
        </w:rPr>
        <w:t xml:space="preserve">Oral Valganciclovir Is Noninferior to Intravenous Ganciclovir for the Treatment of Cytomegalovirus Disease in Solid Organ Transplant Recipients. </w:t>
      </w:r>
      <w:r>
        <w:rPr>
          <w:i/>
          <w:sz w:val="22"/>
        </w:rPr>
        <w:t>American Journal of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[asberg2007]</w:t>
      </w:r>
    </w:p>
    <w:p>
      <w:pPr>
        <w:spacing w:after="40"/>
        <w:ind w:left="283"/>
      </w:pPr>
      <w:r>
        <w:rPr>
          <w:sz w:val="22"/>
        </w:rPr>
        <w:t>— Valganciclovir oral no inferior a ganciclovir intravenoso para tratamiento de la enfermedad CMV en TOS (VICTOR study): tasas de aclaramiento similares.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elección de valganciclovir oral como tratamiento estándar en tu cohorte.</w:t>
      </w:r>
    </w:p>
    <w:p>
      <w:pPr>
        <w:keepNext/>
        <w:spacing w:before="200" w:after="40"/>
      </w:pPr>
      <w:r>
        <w:rPr>
          <w:b/>
          <w:sz w:val="22"/>
        </w:rPr>
        <w:t xml:space="preserve">Meije et al. (2014). </w:t>
      </w:r>
      <w:r>
        <w:rPr>
          <w:sz w:val="22"/>
        </w:rPr>
        <w:t xml:space="preserve">Prevention strategies for cytomegalovirus disease and long‐term outcomes in the high‐risk transplant patient (D+/R−): experience from the &lt;span style="font-variant:small-caps;"&gt;RESITRA&lt;/span&gt; ‐ &lt;span style="font-variant:small-caps;"&gt;REIPI&lt;/span&gt; cohort.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[meije2014a]</w:t>
      </w:r>
    </w:p>
    <w:p>
      <w:pPr>
        <w:spacing w:after="40"/>
        <w:ind w:left="283"/>
      </w:pPr>
      <w:r>
        <w:rPr>
          <w:sz w:val="22"/>
        </w:rPr>
        <w:t>— Profilaxis vs preemptiva en TOS de alto riesgo: desenlaces a largo plazo. La profilaxis universal reduce la incidencia de enfermedad CMV temprana pero puede asociarse con late-onset CMV.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decisión de profilaxis prolongada (hasta 12m) en RTP D+/R- como hicisteis. Útil para discutir el late-onset CMV en pacientes que completan profilaxis.</w:t>
      </w:r>
    </w:p>
    <w:p>
      <w:pPr>
        <w:keepNext/>
        <w:spacing w:before="200" w:after="40"/>
      </w:pPr>
      <w:r>
        <w:rPr>
          <w:b/>
          <w:sz w:val="22"/>
        </w:rPr>
        <w:t xml:space="preserve">Herrera et al. (2020). </w:t>
      </w:r>
      <w:r>
        <w:rPr>
          <w:sz w:val="22"/>
        </w:rPr>
        <w:t xml:space="preserve">Extending cytomegalovirus prophylaxis in high‐risk (D+/R−) lung transplant recipients from 6 to 9 months reduces cytomegalovirus disease: A retrospective study.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[herrera2020]</w:t>
      </w:r>
    </w:p>
    <w:p>
      <w:pPr>
        <w:spacing w:after="40"/>
        <w:ind w:left="283"/>
      </w:pPr>
      <w:r>
        <w:rPr>
          <w:sz w:val="22"/>
        </w:rPr>
        <w:t>— Extensión de profilaxis en RTP D+/R-: comparación 12 vs 18 meses. La extensión a 18 meses puede reducir aún más la incidencia de enfermedad CMV tardía.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decisión de profilaxis prolongada en alto riesgo. La cohorte de tu Estudio 1 tuvo profilaxis hasta 12m en D+/R-, alineada con esta evidencia.</w:t>
      </w:r>
    </w:p>
    <w:p>
      <w:pPr>
        <w:keepNext/>
        <w:spacing w:before="200" w:after="40"/>
      </w:pPr>
      <w:r>
        <w:rPr>
          <w:b/>
          <w:sz w:val="22"/>
        </w:rPr>
        <w:t xml:space="preserve">Natori et al. (2017). </w:t>
      </w:r>
      <w:r>
        <w:rPr>
          <w:sz w:val="22"/>
        </w:rPr>
        <w:t xml:space="preserve">Recurrence of CMV Infection and the Effect of Prolonged Antivirals in Organ Transplant Recipients. </w:t>
      </w:r>
      <w:r>
        <w:rPr>
          <w:i/>
          <w:sz w:val="22"/>
        </w:rPr>
        <w:t>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[natori2017]</w:t>
      </w:r>
    </w:p>
    <w:p>
      <w:pPr>
        <w:spacing w:after="40"/>
        <w:ind w:left="283"/>
      </w:pPr>
      <w:r>
        <w:rPr>
          <w:sz w:val="22"/>
        </w:rPr>
        <w:t>— Recurrencia de la infección CMV y efecto de antivirales prolongados en TOS: la profilaxis secundaria puede reducir la recurrencia.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noción de que mixtos asocian con mayor recurrencia, hallazgo central de tu Estudio 1 (HR 2,01-2,31). Permite discutir si profilaxis secundaria prolongada en pacientes con primer episodio mixto podría reducir recurrencia.</w:t>
      </w:r>
    </w:p>
    <w:p>
      <w:pPr>
        <w:keepNext/>
        <w:spacing w:before="200" w:after="40"/>
      </w:pPr>
      <w:r>
        <w:rPr>
          <w:b/>
          <w:sz w:val="22"/>
        </w:rPr>
        <w:t xml:space="preserve">Chang et al. (2019). </w:t>
      </w:r>
      <w:r>
        <w:rPr>
          <w:sz w:val="22"/>
        </w:rPr>
        <w:t xml:space="preserve">Cytomegalovirus viremia in lung transplantation during and after prophylaxis. </w:t>
      </w:r>
      <w:r>
        <w:rPr>
          <w:i/>
          <w:sz w:val="22"/>
        </w:rPr>
        <w:t>Transplant Infectious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[chang2019]</w:t>
      </w:r>
    </w:p>
    <w:p>
      <w:pPr>
        <w:spacing w:after="40"/>
        <w:ind w:left="283"/>
      </w:pPr>
      <w:r>
        <w:rPr>
          <w:sz w:val="22"/>
        </w:rPr>
        <w:t>— DNAemia CMV durante y después de la profilaxis en RTP: alto porcentaje de pacientes desarrollan DNAemia tras suspender profilaxis.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a la observación de que la mayoría de los episodios primarios en tu cohorte ocurren tras la finalización de la profilaxis.</w:t>
      </w:r>
    </w:p>
    <w:p>
      <w:pPr>
        <w:keepNext/>
        <w:spacing w:before="200" w:after="40"/>
      </w:pPr>
      <w:r>
        <w:rPr>
          <w:b/>
          <w:sz w:val="22"/>
        </w:rPr>
        <w:t xml:space="preserve">Foca et al. (2024). </w:t>
      </w:r>
      <w:r>
        <w:rPr>
          <w:sz w:val="22"/>
        </w:rPr>
        <w:t xml:space="preserve">Multicenter Analysis of Valganciclovir Prophylaxis in Pediatric Solid Organ Transplant Recipients. </w:t>
      </w:r>
      <w:r>
        <w:rPr>
          <w:i/>
          <w:sz w:val="22"/>
        </w:rPr>
        <w:t>Open Forum Infectious Diseases.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[foca2024]</w:t>
      </w:r>
    </w:p>
    <w:p>
      <w:pPr>
        <w:spacing w:after="40"/>
        <w:ind w:left="283"/>
      </w:pPr>
      <w:r>
        <w:rPr>
          <w:sz w:val="22"/>
        </w:rPr>
        <w:t>— Análisis multicéntrico de profilaxis con valganciclovir en TOS pediátricos: efectividad y reacciones adversas en pediatría.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complementaria.</w:t>
      </w:r>
    </w:p>
    <w:p>
      <w:pPr>
        <w:keepNext/>
        <w:spacing w:before="200" w:after="40"/>
      </w:pPr>
      <w:r>
        <w:rPr>
          <w:b/>
          <w:sz w:val="22"/>
        </w:rPr>
        <w:t xml:space="preserve">Vernooij et al. (2025). </w:t>
      </w:r>
      <w:r>
        <w:rPr>
          <w:sz w:val="22"/>
        </w:rPr>
        <w:t xml:space="preserve">Pre-emptive treatment for cytomegalovirus viraemia to prevent cytomegalovirus disease in solid organ transplant recipients. </w:t>
      </w:r>
      <w:r>
        <w:rPr>
          <w:i/>
          <w:sz w:val="22"/>
        </w:rPr>
        <w:t>Cochrane Database of Systematic Reviews.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[vernooij2025b]</w:t>
      </w:r>
    </w:p>
    <w:p>
      <w:pPr>
        <w:spacing w:after="40"/>
        <w:ind w:left="283"/>
      </w:pPr>
      <w:r>
        <w:rPr>
          <w:sz w:val="22"/>
        </w:rPr>
        <w:t>— Tratamiento preemptivo de la viremia CMV para prevenir enfermedad en TOS: efectividad y limitaciones.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conceptual.</w:t>
      </w:r>
    </w:p>
    <w:p>
      <w:pPr>
        <w:keepNext/>
        <w:spacing w:before="200" w:after="40"/>
      </w:pPr>
      <w:r>
        <w:rPr>
          <w:b/>
          <w:sz w:val="22"/>
        </w:rPr>
        <w:t xml:space="preserve">Dobrer et al. (2025). </w:t>
      </w:r>
      <w:r>
        <w:rPr>
          <w:sz w:val="22"/>
        </w:rPr>
        <w:t xml:space="preserve">Impact of viral load kinetics and recurrent cytomegalovirus infection in kidney transplantation. </w:t>
      </w:r>
      <w:r>
        <w:rPr>
          <w:i/>
          <w:sz w:val="22"/>
        </w:rPr>
        <w:t>Frontiers in Immunology.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[dobrer2025]</w:t>
      </w:r>
    </w:p>
    <w:p>
      <w:pPr>
        <w:spacing w:after="40"/>
        <w:ind w:left="283"/>
      </w:pPr>
      <w:r>
        <w:rPr>
          <w:sz w:val="22"/>
        </w:rPr>
        <w:t>— Impacto de la cinética de CV y la recurrencia CMV en trasplante renal: la cinética viral inicial predice recurrencia.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tu análisis de recurrencia.</w:t>
      </w:r>
    </w:p>
    <w:p>
      <w:pPr>
        <w:keepNext/>
        <w:spacing w:before="360" w:after="160"/>
      </w:pPr>
      <w:r>
        <w:rPr>
          <w:b/>
          <w:sz w:val="28"/>
        </w:rPr>
        <w:t>6.8.B — Indicaciones de trasplante pulmonar</w:t>
      </w:r>
    </w:p>
    <w:p>
      <w:pPr>
        <w:keepNext/>
        <w:spacing w:before="200" w:after="40"/>
      </w:pPr>
      <w:r>
        <w:rPr>
          <w:b/>
          <w:sz w:val="22"/>
        </w:rPr>
        <w:t xml:space="preserve">Weill et al. (2015). </w:t>
      </w:r>
      <w:r>
        <w:rPr>
          <w:sz w:val="22"/>
        </w:rPr>
        <w:t xml:space="preserve">A consensus document for the selection of lung transplant candidates: 2014—An update from the Pulmonary Transplantation Council of the International Society for Heart and Lung Transplantation. </w:t>
      </w:r>
      <w:r>
        <w:rPr>
          <w:i/>
          <w:sz w:val="22"/>
        </w:rPr>
        <w:t>The Journal of Heart and Lung Transplantation.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[weill2015]</w:t>
      </w:r>
    </w:p>
    <w:p>
      <w:pPr>
        <w:spacing w:after="40"/>
        <w:ind w:left="283"/>
      </w:pPr>
      <w:r>
        <w:rPr>
          <w:sz w:val="22"/>
        </w:rPr>
        <w:t>— Documento de consenso para selección de candidatos a TP — actualización 2014 ISHLT.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estándar para describir las indicaciones de trasplante pulmonar de tu cohorte.</w:t>
      </w:r>
    </w:p>
    <w:p>
      <w:pPr>
        <w:keepNext/>
        <w:spacing w:before="200" w:after="40"/>
      </w:pPr>
      <w:r>
        <w:rPr>
          <w:b/>
          <w:sz w:val="22"/>
        </w:rPr>
        <w:t xml:space="preserve">Varela et al. (2022). </w:t>
      </w:r>
      <w:r>
        <w:rPr>
          <w:sz w:val="22"/>
        </w:rPr>
        <w:t xml:space="preserve">Thoracic surgery in Spain. </w:t>
      </w:r>
      <w:r>
        <w:rPr>
          <w:i/>
          <w:sz w:val="22"/>
        </w:rPr>
        <w:t>Journal of Thoracic Disease.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[varela2022]</w:t>
      </w:r>
    </w:p>
    <w:p>
      <w:pPr>
        <w:spacing w:after="40"/>
        <w:ind w:left="283"/>
      </w:pPr>
      <w:r>
        <w:rPr>
          <w:sz w:val="22"/>
        </w:rPr>
        <w:t>— Cirugía torácica en España: actualización del estado.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complementaria nacional.</w:t>
      </w:r>
    </w:p>
    <w:p>
      <w:pPr>
        <w:keepNext/>
        <w:spacing w:before="200" w:after="40"/>
      </w:pPr>
      <w:r>
        <w:rPr>
          <w:b/>
          <w:sz w:val="22"/>
        </w:rPr>
        <w:t xml:space="preserve">Christie et al. (2024). </w:t>
      </w:r>
      <w:r>
        <w:rPr>
          <w:sz w:val="22"/>
        </w:rPr>
        <w:t xml:space="preserve">Lung Transplantation. </w:t>
      </w:r>
      <w:r>
        <w:rPr>
          <w:i/>
          <w:sz w:val="22"/>
        </w:rPr>
        <w:t>New England Journal of Medicine.</w:t>
      </w:r>
      <w:r>
        <w:rPr>
          <w:i/>
          <w:color w:val="008000"/>
          <w:sz w:val="18"/>
        </w:rPr>
        <w:t xml:space="preserve">  [PDF leído]</w:t>
      </w:r>
      <w:r>
        <w:rPr>
          <w:color w:val="808080"/>
          <w:sz w:val="18"/>
        </w:rPr>
        <w:t xml:space="preserve">  [christie2024]</w:t>
      </w:r>
    </w:p>
    <w:p>
      <w:pPr>
        <w:spacing w:after="40"/>
        <w:ind w:left="283"/>
      </w:pPr>
      <w:r>
        <w:rPr>
          <w:sz w:val="22"/>
        </w:rPr>
        <w:t>— Trasplante pulmonar — capítulo o revisión actualizada de procedimiento, indicaciones, complicaciones e infección.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Cita estándar.</w:t>
      </w:r>
    </w:p>
    <w:p>
      <w:pPr>
        <w:keepNext/>
        <w:spacing w:before="360" w:after="160"/>
      </w:pPr>
      <w:r>
        <w:rPr>
          <w:b/>
          <w:sz w:val="28"/>
        </w:rPr>
        <w:t>6.8.C — Diagnóstico de CMV en muestras de BAL</w:t>
      </w:r>
    </w:p>
    <w:p>
      <w:pPr>
        <w:keepNext/>
        <w:spacing w:before="200" w:after="40"/>
      </w:pPr>
      <w:r>
        <w:rPr>
          <w:b/>
          <w:sz w:val="22"/>
        </w:rPr>
        <w:t xml:space="preserve">Berengua et al. (2023). </w:t>
      </w:r>
      <w:r>
        <w:rPr>
          <w:sz w:val="22"/>
        </w:rPr>
        <w:t xml:space="preserve">Detection of cytomegalovirus in bronchoalveolar lavage fluid from immunocompromised patients with pneumonitis by viral culture and DNA quantification. </w:t>
      </w:r>
      <w:r>
        <w:rPr>
          <w:i/>
          <w:sz w:val="22"/>
        </w:rPr>
        <w:t>Journal of Virological Methods.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[berengua2023]</w:t>
      </w:r>
    </w:p>
    <w:p>
      <w:pPr>
        <w:spacing w:after="40"/>
        <w:ind w:left="283"/>
      </w:pPr>
      <w:r>
        <w:rPr>
          <w:sz w:val="22"/>
        </w:rPr>
        <w:t>— Detección de CMV en líquido de BAL en pacientes inmunocomprometidos: rendimiento de PCR cuantitativa para diagnóstico de neumonitis.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metodológico para futuros análisis del BAL en tu cohorte.</w:t>
      </w:r>
    </w:p>
    <w:p>
      <w:pPr>
        <w:keepNext/>
        <w:spacing w:before="200" w:after="40"/>
      </w:pPr>
      <w:r>
        <w:rPr>
          <w:b/>
          <w:sz w:val="22"/>
        </w:rPr>
        <w:t xml:space="preserve">Segura-Wang et al. (2018). </w:t>
      </w:r>
      <w:r>
        <w:rPr>
          <w:sz w:val="22"/>
        </w:rPr>
        <w:t xml:space="preserve">Temporal dynamics of the lung and plasma viromes in lung transplant recipients. </w:t>
      </w:r>
      <w:r>
        <w:rPr>
          <w:i/>
          <w:sz w:val="22"/>
        </w:rPr>
        <w:t>PLOS ONE.</w:t>
      </w:r>
      <w:r>
        <w:rPr>
          <w:i/>
          <w:color w:val="808080"/>
          <w:sz w:val="18"/>
        </w:rPr>
        <w:t xml:space="preserve">  [Solo abstract]</w:t>
      </w:r>
      <w:r>
        <w:rPr>
          <w:color w:val="808080"/>
          <w:sz w:val="18"/>
        </w:rPr>
        <w:t xml:space="preserve">  [segura-wang2018]</w:t>
      </w:r>
    </w:p>
    <w:p>
      <w:pPr>
        <w:spacing w:after="40"/>
        <w:ind w:left="283"/>
      </w:pPr>
      <w:r>
        <w:rPr>
          <w:sz w:val="22"/>
        </w:rPr>
        <w:t>— Dinámica temporal de los viromas pulmonar y plasmático en RTP: caracterización de comunidades virales en sangre y BAL.</w:t>
      </w:r>
    </w:p>
    <w:p>
      <w:pPr>
        <w:spacing w:after="120"/>
        <w:ind w:left="567"/>
      </w:pPr>
      <w:r>
        <w:rPr>
          <w:i/>
          <w:color w:val="004AAD"/>
          <w:sz w:val="20"/>
        </w:rPr>
        <w:t>› Apoyo conceptual a la noción de que el pulmón es un compartimento con dinámica viral propia, distinta de la sangre.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