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 Model ClinicalReport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BeModelClinicalReport</w:t>
            </w:r>
          </w:p>
        </w:tc>
      </w:tr>
      <w:tr>
        <w:tc>
          <w:tcPr>
            <w:tcW w:type="dxa" w:w="4320"/>
          </w:tcPr>
          <w:p>
            <w:r>
              <w:rPr>
                <w:b/>
              </w:rPr>
              <w:t>Title</w:t>
            </w:r>
          </w:p>
        </w:tc>
        <w:tc>
          <w:tcPr>
            <w:tcW w:type="dxa" w:w="4320"/>
          </w:tcPr>
          <w:p>
            <w:r>
              <w:t>BE Model ClinicalReport</w:t>
            </w:r>
          </w:p>
        </w:tc>
      </w:tr>
      <w:tr>
        <w:tc>
          <w:tcPr>
            <w:tcW w:type="dxa" w:w="4320"/>
          </w:tcPr>
          <w:p>
            <w:r>
              <w:rPr>
                <w:b/>
              </w:rPr>
              <w:t>Canonical URL</w:t>
            </w:r>
          </w:p>
        </w:tc>
        <w:tc>
          <w:tcPr>
            <w:tcW w:type="dxa" w:w="4320"/>
          </w:tcPr>
          <w:p>
            <w:r>
              <w:t>https://www.ehealth.fgov.be/standards/fhir/patient-dossier/StructureDefinition/BeModelClinicalReport</w:t>
            </w:r>
          </w:p>
        </w:tc>
      </w:tr>
      <w:tr>
        <w:tc>
          <w:tcPr>
            <w:tcW w:type="dxa" w:w="4320"/>
          </w:tcPr>
          <w:p>
            <w:r>
              <w:rPr>
                <w:b/>
              </w:rPr>
              <w:t>Version</w:t>
            </w:r>
          </w:p>
        </w:tc>
        <w:tc>
          <w:tcPr>
            <w:tcW w:type="dxa" w:w="4320"/>
          </w:tcPr>
          <w:p>
            <w:r>
              <w:t>1.0.0</w:t>
            </w:r>
          </w:p>
        </w:tc>
      </w:tr>
      <w:tr>
        <w:tc>
          <w:tcPr>
            <w:tcW w:type="dxa" w:w="4320"/>
          </w:tcPr>
          <w:p>
            <w:r>
              <w:rPr>
                <w:b/>
              </w:rPr>
              <w:t>Status</w:t>
            </w:r>
          </w:p>
        </w:tc>
        <w:tc>
          <w:tcPr>
            <w:tcW w:type="dxa" w:w="4320"/>
          </w:tcPr>
          <w:p>
            <w:r>
              <w:t>draft</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Logical model of the CareSet ClinicalReport: a clinical report that collects the essential information for the follow-up of a patient over a defined period, consolidates the referenced clinical observations, reports and documents around a well-defined medical context, and may carry a clinical interpretation. It is intended to be shared between health professionals.</w:t>
      </w:r>
    </w:p>
    <w:p>
      <w:pPr>
        <w:pStyle w:val="Heading1"/>
      </w:pPr>
      <w:r>
        <w:t>Class diagram</w:t>
      </w:r>
    </w:p>
    <w:p>
      <w:r>
        <w:drawing>
          <wp:inline xmlns:a="http://schemas.openxmlformats.org/drawingml/2006/main" xmlns:pic="http://schemas.openxmlformats.org/drawingml/2006/picture">
            <wp:extent cx="5760720" cy="12597618"/>
            <wp:docPr id="1" name="Picture 1"/>
            <wp:cNvGraphicFramePr>
              <a:graphicFrameLocks noChangeAspect="1"/>
            </wp:cNvGraphicFramePr>
            <a:graphic>
              <a:graphicData uri="http://schemas.openxmlformats.org/drawingml/2006/picture">
                <pic:pic>
                  <pic:nvPicPr>
                    <pic:cNvPr id="0" name="BeModelClinicalReport-uml.png"/>
                    <pic:cNvPicPr/>
                  </pic:nvPicPr>
                  <pic:blipFill>
                    <a:blip r:embed="rId9"/>
                    <a:stretch>
                      <a:fillRect/>
                    </a:stretch>
                  </pic:blipFill>
                  <pic:spPr>
                    <a:xfrm>
                      <a:off x="0" y="0"/>
                      <a:ext cx="5760720" cy="12597618"/>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5084796"/>
            <wp:docPr id="2" name="Picture 2"/>
            <wp:cNvGraphicFramePr>
              <a:graphicFrameLocks noChangeAspect="1"/>
            </wp:cNvGraphicFramePr>
            <a:graphic>
              <a:graphicData uri="http://schemas.openxmlformats.org/drawingml/2006/picture">
                <pic:pic>
                  <pic:nvPicPr>
                    <pic:cNvPr id="0" name="BeModelClinicalReport.png"/>
                    <pic:cNvPicPr/>
                  </pic:nvPicPr>
                  <pic:blipFill>
                    <a:blip r:embed="rId10"/>
                    <a:stretch>
                      <a:fillRect/>
                    </a:stretch>
                  </pic:blipFill>
                  <pic:spPr>
                    <a:xfrm>
                      <a:off x="0" y="0"/>
                      <a:ext cx="5760720" cy="5084796"/>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businessIdentifier</w:t>
            </w:r>
          </w:p>
        </w:tc>
        <w:tc>
          <w:tcPr>
            <w:tcW w:type="dxa" w:w="1728"/>
          </w:tcPr>
          <w:p>
            <w:r>
              <w:t>1..*</w:t>
            </w:r>
          </w:p>
        </w:tc>
        <w:tc>
          <w:tcPr>
            <w:tcW w:type="dxa" w:w="1728"/>
          </w:tcPr>
          <w:p>
            <w:r>
              <w:t>Identifier</w:t>
            </w:r>
          </w:p>
        </w:tc>
        <w:tc>
          <w:tcPr>
            <w:tcW w:type="dxa" w:w="1728"/>
          </w:tcPr>
          <w:p>
            <w:r/>
          </w:p>
        </w:tc>
        <w:tc>
          <w:tcPr>
            <w:tcW w:type="dxa" w:w="1728"/>
          </w:tcPr>
          <w:p>
            <w:r>
              <w:t>Business identifier of the report</w:t>
            </w:r>
          </w:p>
          <w:p>
            <w:r>
              <w:rPr>
                <w:sz w:val="16"/>
              </w:rPr>
              <w:t>Identifiant métier du rapport.</w:t>
            </w:r>
          </w:p>
        </w:tc>
      </w:tr>
      <w:tr>
        <w:tc>
          <w:tcPr>
            <w:tcW w:type="dxa" w:w="1728"/>
          </w:tcPr>
          <w:p>
            <w:pPr>
              <w:ind w:left="0"/>
            </w:pPr>
            <w:r>
              <w:rPr>
                <w:b w:val="0"/>
                <w:i w:val="0"/>
              </w:rPr>
              <w:t>basedOn</w:t>
            </w:r>
          </w:p>
        </w:tc>
        <w:tc>
          <w:tcPr>
            <w:tcW w:type="dxa" w:w="1728"/>
          </w:tcPr>
          <w:p>
            <w:r>
              <w:t>0..1</w:t>
            </w:r>
          </w:p>
        </w:tc>
        <w:tc>
          <w:tcPr>
            <w:tcW w:type="dxa" w:w="1728"/>
          </w:tcPr>
          <w:p>
            <w:r>
              <w:t>Reference</w:t>
            </w:r>
          </w:p>
        </w:tc>
        <w:tc>
          <w:tcPr>
            <w:tcW w:type="dxa" w:w="1728"/>
          </w:tcPr>
          <w:p>
            <w:r/>
          </w:p>
        </w:tc>
        <w:tc>
          <w:tcPr>
            <w:tcW w:type="dxa" w:w="1728"/>
          </w:tcPr>
          <w:p>
            <w:r>
              <w:t>Reference to the request underlying the report</w:t>
            </w:r>
          </w:p>
          <w:p>
            <w:r>
              <w:rPr>
                <w:sz w:val="16"/>
              </w:rPr>
              <w:t>La référence de la demande à la base du rapport. Ex. : prescription de renvoi (télémonitoring).</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the report was recorded / last updated</w:t>
            </w:r>
          </w:p>
          <w:p>
            <w:r>
              <w:rPr>
                <w:sz w:val="16"/>
              </w:rPr>
              <w:t>Date de la dernière mise à jour (fonctionnelle) du rapport.</w:t>
            </w:r>
          </w:p>
        </w:tc>
      </w:tr>
      <w:tr>
        <w:tc>
          <w:tcPr>
            <w:tcW w:type="dxa" w:w="1728"/>
          </w:tcPr>
          <w:p>
            <w:pPr>
              <w:ind w:left="0"/>
            </w:pPr>
            <w:r>
              <w:rPr>
                <w:b w:val="0"/>
                <w:i w:val="0"/>
              </w:rPr>
              <w:t>observationPeriod</w:t>
            </w:r>
          </w:p>
        </w:tc>
        <w:tc>
          <w:tcPr>
            <w:tcW w:type="dxa" w:w="1728"/>
          </w:tcPr>
          <w:p>
            <w:r>
              <w:t>1..1</w:t>
            </w:r>
          </w:p>
        </w:tc>
        <w:tc>
          <w:tcPr>
            <w:tcW w:type="dxa" w:w="1728"/>
          </w:tcPr>
          <w:p>
            <w:r>
              <w:t>Period</w:t>
            </w:r>
          </w:p>
        </w:tc>
        <w:tc>
          <w:tcPr>
            <w:tcW w:type="dxa" w:w="1728"/>
          </w:tcPr>
          <w:p>
            <w:r/>
          </w:p>
        </w:tc>
        <w:tc>
          <w:tcPr>
            <w:tcW w:type="dxa" w:w="1728"/>
          </w:tcPr>
          <w:p>
            <w:r>
              <w:t>Period the report covers</w:t>
            </w:r>
          </w:p>
          <w:p>
            <w:r>
              <w:rPr>
                <w:sz w:val="16"/>
              </w:rPr>
              <w:t>De date à date correspondant à la période sur laquelle le rapport porte.</w:t>
            </w:r>
          </w:p>
        </w:tc>
      </w:tr>
      <w:tr>
        <w:tc>
          <w:tcPr>
            <w:tcW w:type="dxa" w:w="1728"/>
          </w:tcPr>
          <w:p>
            <w:pPr>
              <w:ind w:left="0"/>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The patient the report is about</w:t>
            </w:r>
          </w:p>
          <w:p>
            <w:r>
              <w:rPr>
                <w:sz w:val="16"/>
              </w:rPr>
              <w:t>La personne qui est l'objet des soins de santé auxquels l'enregistrement (CareSet) fait référence. Voir BR PP « Identification personne physique ».</w:t>
            </w:r>
          </w:p>
        </w:tc>
      </w:tr>
      <w:tr>
        <w:tc>
          <w:tcPr>
            <w:tcW w:type="dxa" w:w="1728"/>
          </w:tcPr>
          <w:p>
            <w:pPr>
              <w:ind w:left="0"/>
            </w:pPr>
            <w:r>
              <w:rPr>
                <w:b w:val="0"/>
                <w:i w:val="0"/>
              </w:rPr>
              <w:t>recorder</w:t>
            </w:r>
          </w:p>
        </w:tc>
        <w:tc>
          <w:tcPr>
            <w:tcW w:type="dxa" w:w="1728"/>
          </w:tcPr>
          <w:p>
            <w:r>
              <w:t>1..1</w:t>
            </w:r>
          </w:p>
        </w:tc>
        <w:tc>
          <w:tcPr>
            <w:tcW w:type="dxa" w:w="1728"/>
          </w:tcPr>
          <w:p>
            <w:r>
              <w:t>Reference</w:t>
            </w:r>
          </w:p>
        </w:tc>
        <w:tc>
          <w:tcPr>
            <w:tcW w:type="dxa" w:w="1728"/>
          </w:tcPr>
          <w:p>
            <w:r/>
          </w:p>
        </w:tc>
        <w:tc>
          <w:tcPr>
            <w:tcW w:type="dxa" w:w="1728"/>
          </w:tcPr>
          <w:p>
            <w:r>
              <w:t>Who recorded the report</w:t>
            </w:r>
          </w:p>
          <w:p>
            <w:r>
              <w:rPr>
                <w:sz w:val="16"/>
              </w:rPr>
              <w:t>Le professionnel de la santé ou l'organisation qui encode les informations et prend la responsabilité de leur contenu. Voir BR PP « Identification personne physique ».</w:t>
            </w:r>
          </w:p>
        </w:tc>
      </w:tr>
      <w:tr>
        <w:tc>
          <w:tcPr>
            <w:tcW w:type="dxa" w:w="1728"/>
          </w:tcPr>
          <w:p>
            <w:pPr>
              <w:ind w:left="0"/>
            </w:pPr>
            <w:r>
              <w:rPr>
                <w:b w:val="0"/>
                <w:i w:val="0"/>
              </w:rPr>
              <w:t>interpreter</w:t>
            </w:r>
          </w:p>
        </w:tc>
        <w:tc>
          <w:tcPr>
            <w:tcW w:type="dxa" w:w="1728"/>
          </w:tcPr>
          <w:p>
            <w:r>
              <w:t>0..1</w:t>
            </w:r>
          </w:p>
        </w:tc>
        <w:tc>
          <w:tcPr>
            <w:tcW w:type="dxa" w:w="1728"/>
          </w:tcPr>
          <w:p>
            <w:r>
              <w:t>Reference</w:t>
            </w:r>
          </w:p>
        </w:tc>
        <w:tc>
          <w:tcPr>
            <w:tcW w:type="dxa" w:w="1728"/>
          </w:tcPr>
          <w:p>
            <w:r/>
          </w:p>
        </w:tc>
        <w:tc>
          <w:tcPr>
            <w:tcW w:type="dxa" w:w="1728"/>
          </w:tcPr>
          <w:p>
            <w:r>
              <w:t>Who interprets the observations of the report</w:t>
            </w:r>
          </w:p>
          <w:p>
            <w:r>
              <w:rPr>
                <w:sz w:val="16"/>
              </w:rPr>
              <w:t>Le prestataire de soins qui interprète les observations du rapport. Ex. : NISS endocrinologue, NISS généraliste. Voir BR PP « Identification personne physique ».</w:t>
            </w:r>
          </w:p>
        </w:tc>
      </w:tr>
      <w:tr>
        <w:tc>
          <w:tcPr>
            <w:tcW w:type="dxa" w:w="1728"/>
          </w:tcPr>
          <w:p>
            <w:pPr>
              <w:ind w:left="0"/>
            </w:pPr>
            <w:r>
              <w:rPr>
                <w:b w:val="0"/>
                <w:i w:val="0"/>
              </w:rPr>
              <w:t>interpretation</w:t>
            </w:r>
          </w:p>
        </w:tc>
        <w:tc>
          <w:tcPr>
            <w:tcW w:type="dxa" w:w="1728"/>
          </w:tcPr>
          <w:p>
            <w:r>
              <w:t>0..1</w:t>
            </w:r>
          </w:p>
        </w:tc>
        <w:tc>
          <w:tcPr>
            <w:tcW w:type="dxa" w:w="1728"/>
          </w:tcPr>
          <w:p>
            <w:r>
              <w:t>string</w:t>
            </w:r>
          </w:p>
        </w:tc>
        <w:tc>
          <w:tcPr>
            <w:tcW w:type="dxa" w:w="1728"/>
          </w:tcPr>
          <w:p>
            <w:r/>
          </w:p>
        </w:tc>
        <w:tc>
          <w:tcPr>
            <w:tcW w:type="dxa" w:w="1728"/>
          </w:tcPr>
          <w:p>
            <w:r>
              <w:t>Textual interpretation of the observations and/or the thought process that leads to a conclusion</w:t>
            </w:r>
          </w:p>
          <w:p>
            <w:r>
              <w:rPr>
                <w:sz w:val="16"/>
              </w:rPr>
              <w:t>Conclusion clinique (interprétation) de résultat de tests, exprimée en code ou texte libre. Cet élément sera fourni par le prestataire de soins qui fait l'interprétation. Voir BR RIN.</w:t>
            </w:r>
          </w:p>
        </w:tc>
      </w:tr>
      <w:tr>
        <w:tc>
          <w:tcPr>
            <w:tcW w:type="dxa" w:w="1728"/>
          </w:tcPr>
          <w:p>
            <w:pPr>
              <w:ind w:left="0"/>
            </w:pPr>
            <w:r>
              <w:rPr>
                <w:b w:val="0"/>
                <w:i w:val="0"/>
              </w:rPr>
              <w:t>conclusion</w:t>
            </w:r>
          </w:p>
        </w:tc>
        <w:tc>
          <w:tcPr>
            <w:tcW w:type="dxa" w:w="1728"/>
          </w:tcPr>
          <w:p>
            <w:r>
              <w:t>0..*</w:t>
            </w:r>
          </w:p>
        </w:tc>
        <w:tc>
          <w:tcPr>
            <w:tcW w:type="dxa" w:w="1728"/>
          </w:tcPr>
          <w:p>
            <w:r>
              <w:t>CodeableConcept</w:t>
            </w:r>
          </w:p>
        </w:tc>
        <w:tc>
          <w:tcPr>
            <w:tcW w:type="dxa" w:w="1728"/>
          </w:tcPr>
          <w:p>
            <w:r/>
          </w:p>
        </w:tc>
        <w:tc>
          <w:tcPr>
            <w:tcW w:type="dxa" w:w="1728"/>
          </w:tcPr>
          <w:p>
            <w:r>
              <w:t>Clinical conclusion (interpretation) of the results</w:t>
            </w:r>
          </w:p>
          <w:p>
            <w:r>
              <w:rPr>
                <w:sz w:val="16"/>
              </w:rPr>
              <w:t>Clinical conclusion (interpretation) of the test results, expressed as a code or as free text. This element is provided by the care provider who performs the interpretation. See BR RIN.</w:t>
            </w:r>
          </w:p>
        </w:tc>
      </w:tr>
      <w:tr>
        <w:tc>
          <w:tcPr>
            <w:tcW w:type="dxa" w:w="1728"/>
          </w:tcPr>
          <w:p>
            <w:pPr>
              <w:ind w:left="0"/>
            </w:pPr>
            <w:r>
              <w:rPr>
                <w:b w:val="0"/>
                <w:i w:val="0"/>
              </w:rPr>
              <w:t>category</w:t>
            </w:r>
          </w:p>
        </w:tc>
        <w:tc>
          <w:tcPr>
            <w:tcW w:type="dxa" w:w="1728"/>
          </w:tcPr>
          <w:p>
            <w:r>
              <w:t>0..*</w:t>
            </w:r>
          </w:p>
        </w:tc>
        <w:tc>
          <w:tcPr>
            <w:tcW w:type="dxa" w:w="1728"/>
          </w:tcPr>
          <w:p>
            <w:r>
              <w:t>CodeableConcept</w:t>
            </w:r>
          </w:p>
        </w:tc>
        <w:tc>
          <w:tcPr>
            <w:tcW w:type="dxa" w:w="1728"/>
          </w:tcPr>
          <w:p>
            <w:r>
              <w:t>be-vs-clinicalreport-category</w:t>
            </w:r>
          </w:p>
        </w:tc>
        <w:tc>
          <w:tcPr>
            <w:tcW w:type="dxa" w:w="1728"/>
          </w:tcPr>
          <w:p>
            <w:r>
              <w:t>Clinical/functional classification of the report</w:t>
            </w:r>
          </w:p>
          <w:p>
            <w:r>
              <w:rPr>
                <w:sz w:val="16"/>
              </w:rPr>
              <w:t>Une catégorie est un attribut de classification d'un élément de données dans un CareSet, défini par une ValueSet standardisée, permettant de regrouper les informations selon leur signification clinique ou fonctionnelle. Ex. Suivi Glycémie, Cardio. Voir VS_Rep_Category.</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t>be-vs-clinicalreport-code</w:t>
            </w:r>
          </w:p>
        </w:tc>
        <w:tc>
          <w:tcPr>
            <w:tcW w:type="dxa" w:w="1728"/>
          </w:tcPr>
          <w:p>
            <w:r>
              <w:t>Code of the report</w:t>
            </w:r>
          </w:p>
          <w:p>
            <w:r>
              <w:rPr>
                <w:sz w:val="16"/>
              </w:rPr>
              <w:t>Code du rapport. On propose d'indiquer le type de procédure qui conduit à la production des valeurs primaires (measurement clinical observations) de ce rapport. Voir VS_Rep_Code.</w:t>
            </w:r>
          </w:p>
        </w:tc>
      </w:tr>
      <w:tr>
        <w:tc>
          <w:tcPr>
            <w:tcW w:type="dxa" w:w="1728"/>
          </w:tcPr>
          <w:p>
            <w:pPr>
              <w:ind w:left="0"/>
            </w:pPr>
            <w:r>
              <w:rPr>
                <w:b w:val="0"/>
                <w:i w:val="0"/>
              </w:rPr>
              <w:t>clinicalObservations</w:t>
            </w:r>
          </w:p>
        </w:tc>
        <w:tc>
          <w:tcPr>
            <w:tcW w:type="dxa" w:w="1728"/>
          </w:tcPr>
          <w:p>
            <w:r>
              <w:t>0..*</w:t>
            </w:r>
          </w:p>
        </w:tc>
        <w:tc>
          <w:tcPr>
            <w:tcW w:type="dxa" w:w="1728"/>
          </w:tcPr>
          <w:p>
            <w:r>
              <w:t>Reference(Observation)</w:t>
            </w:r>
          </w:p>
        </w:tc>
        <w:tc>
          <w:tcPr>
            <w:tcW w:type="dxa" w:w="1728"/>
          </w:tcPr>
          <w:p>
            <w:r/>
          </w:p>
        </w:tc>
        <w:tc>
          <w:tcPr>
            <w:tcW w:type="dxa" w:w="1728"/>
          </w:tcPr>
          <w:p>
            <w:r>
              <w:t>Referenced clinical observations</w:t>
            </w:r>
          </w:p>
          <w:p>
            <w:r>
              <w:rPr>
                <w:sz w:val="16"/>
              </w:rPr>
              <w:t>Liste des références des différents ClinicalObservations qui font parties du rapport.</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Free-text additional information</w:t>
            </w:r>
          </w:p>
          <w:p>
            <w:r>
              <w:rPr>
                <w:sz w:val="16"/>
              </w:rPr>
              <w:t>Informations complémentaires relatives au contenu du CareSet en format texte libre.</w:t>
            </w:r>
          </w:p>
        </w:tc>
      </w:tr>
      <w:tr>
        <w:tc>
          <w:tcPr>
            <w:tcW w:type="dxa" w:w="1728"/>
          </w:tcPr>
          <w:p>
            <w:pPr>
              <w:ind w:left="0"/>
            </w:pPr>
            <w:r>
              <w:rPr>
                <w:b w:val="0"/>
                <w:i w:val="0"/>
              </w:rPr>
              <w:t>document</w:t>
            </w:r>
          </w:p>
        </w:tc>
        <w:tc>
          <w:tcPr>
            <w:tcW w:type="dxa" w:w="1728"/>
          </w:tcPr>
          <w:p>
            <w:r>
              <w:t>0..1</w:t>
            </w:r>
          </w:p>
        </w:tc>
        <w:tc>
          <w:tcPr>
            <w:tcW w:type="dxa" w:w="1728"/>
          </w:tcPr>
          <w:p>
            <w:r>
              <w:t>Attachment</w:t>
            </w:r>
          </w:p>
        </w:tc>
        <w:tc>
          <w:tcPr>
            <w:tcW w:type="dxa" w:w="1728"/>
          </w:tcPr>
          <w:p>
            <w:r/>
          </w:p>
        </w:tc>
        <w:tc>
          <w:tcPr>
            <w:tcW w:type="dxa" w:w="1728"/>
          </w:tcPr>
          <w:p>
            <w:r>
              <w:t>PDF document of the complete report</w:t>
            </w:r>
          </w:p>
          <w:p>
            <w:r>
              <w:rPr>
                <w:sz w:val="16"/>
              </w:rPr>
              <w:t>Document PDF reprenant le rapport complet (texte, graphiques, observations déduites, conclusions ...).</w:t>
            </w:r>
          </w:p>
        </w:tc>
      </w:tr>
      <w:tr>
        <w:tc>
          <w:tcPr>
            <w:tcW w:type="dxa" w:w="1728"/>
          </w:tcPr>
          <w:p>
            <w:pPr>
              <w:ind w:left="0"/>
            </w:pPr>
            <w:r>
              <w:rPr>
                <w:b w:val="0"/>
                <w:i w:val="0"/>
              </w:rPr>
              <w:t>status</w:t>
            </w:r>
          </w:p>
        </w:tc>
        <w:tc>
          <w:tcPr>
            <w:tcW w:type="dxa" w:w="1728"/>
          </w:tcPr>
          <w:p>
            <w:r>
              <w:t>1..1</w:t>
            </w:r>
          </w:p>
        </w:tc>
        <w:tc>
          <w:tcPr>
            <w:tcW w:type="dxa" w:w="1728"/>
          </w:tcPr>
          <w:p>
            <w:r>
              <w:t>code</w:t>
            </w:r>
          </w:p>
        </w:tc>
        <w:tc>
          <w:tcPr>
            <w:tcW w:type="dxa" w:w="1728"/>
          </w:tcPr>
          <w:p>
            <w:r>
              <w:t>diagnostic-report-status</w:t>
            </w:r>
          </w:p>
        </w:tc>
        <w:tc>
          <w:tcPr>
            <w:tcW w:type="dxa" w:w="1728"/>
          </w:tcPr>
          <w:p>
            <w:r>
              <w:t>Status of the report</w:t>
            </w:r>
          </w:p>
          <w:p>
            <w:r>
              <w:rPr>
                <w:sz w:val="16"/>
              </w:rPr>
              <w:t>Statut du rapport. Le défaut est « final » (Rapport final). Voir VS_Status.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