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BeModelDiagnosticReportDiabetes</w:t>
      </w:r>
    </w:p>
    <w:tbl>
      <w:tblPr>
        <w:tblStyle w:val="TableGrid"/>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t>BeModelDiagnosticReportDiabetes</w:t>
            </w:r>
          </w:p>
        </w:tc>
      </w:tr>
      <w:tr>
        <w:tc>
          <w:tcPr>
            <w:tcW w:type="dxa" w:w="4320"/>
          </w:tcPr>
          <w:p>
            <w:r>
              <w:rPr>
                <w:b/>
              </w:rPr>
              <w:t>Title</w:t>
            </w:r>
          </w:p>
        </w:tc>
        <w:tc>
          <w:tcPr>
            <w:tcW w:type="dxa" w:w="4320"/>
          </w:tcPr>
          <w:p>
            <w:r>
              <w:t>BeModelDiagnosticReportDiabetes</w:t>
            </w:r>
          </w:p>
        </w:tc>
      </w:tr>
      <w:tr>
        <w:tc>
          <w:tcPr>
            <w:tcW w:type="dxa" w:w="4320"/>
          </w:tcPr>
          <w:p>
            <w:r>
              <w:rPr>
                <w:b/>
              </w:rPr>
              <w:t>Canonical URL</w:t>
            </w:r>
          </w:p>
        </w:tc>
        <w:tc>
          <w:tcPr>
            <w:tcW w:type="dxa" w:w="4320"/>
          </w:tcPr>
          <w:p>
            <w:r>
              <w:t>https://www.ehealth.fgov.be/standards/fhir/core-clinical/StructureDefinition/BeModelDiagnosticReportDiabetes</w:t>
            </w:r>
          </w:p>
        </w:tc>
      </w:tr>
      <w:tr>
        <w:tc>
          <w:tcPr>
            <w:tcW w:type="dxa" w:w="4320"/>
          </w:tcPr>
          <w:p>
            <w:r>
              <w:rPr>
                <w:b/>
              </w:rPr>
              <w:t>Version</w:t>
            </w:r>
          </w:p>
        </w:tc>
        <w:tc>
          <w:tcPr>
            <w:tcW w:type="dxa" w:w="4320"/>
          </w:tcPr>
          <w:p>
            <w:r>
              <w:t>0.1.0</w:t>
            </w:r>
          </w:p>
        </w:tc>
      </w:tr>
      <w:tr>
        <w:tc>
          <w:tcPr>
            <w:tcW w:type="dxa" w:w="4320"/>
          </w:tcPr>
          <w:p>
            <w:r>
              <w:rPr>
                <w:b/>
              </w:rPr>
              <w:t>Status</w:t>
            </w:r>
          </w:p>
        </w:tc>
        <w:tc>
          <w:tcPr>
            <w:tcW w:type="dxa" w:w="4320"/>
          </w:tcPr>
          <w:p>
            <w:r>
              <w:t>draft</w:t>
            </w:r>
          </w:p>
        </w:tc>
      </w:tr>
      <w:tr>
        <w:tc>
          <w:tcPr>
            <w:tcW w:type="dxa" w:w="4320"/>
          </w:tcPr>
          <w:p>
            <w:r>
              <w:rPr>
                <w:b/>
              </w:rPr>
              <w:t>Parent model</w:t>
            </w:r>
          </w:p>
        </w:tc>
        <w:tc>
          <w:tcPr>
            <w:tcW w:type="dxa" w:w="4320"/>
          </w:tcPr>
          <w:p>
            <w:r>
              <w:t>Base</w:t>
            </w:r>
          </w:p>
        </w:tc>
      </w:tr>
      <w:tr>
        <w:tc>
          <w:tcPr>
            <w:tcW w:type="dxa" w:w="4320"/>
          </w:tcPr>
          <w:p>
            <w:r>
              <w:rPr>
                <w:b/>
              </w:rPr>
              <w:t>Publisher</w:t>
            </w:r>
          </w:p>
        </w:tc>
        <w:tc>
          <w:tcPr>
            <w:tcW w:type="dxa" w:w="4320"/>
          </w:tcPr>
          <w:p>
            <w:r>
              <w:t>RIZIV/INAMI</w:t>
            </w:r>
          </w:p>
        </w:tc>
      </w:tr>
    </w:tbl>
    <w:p>
      <w:pPr>
        <w:pStyle w:val="Heading1"/>
      </w:pPr>
      <w:r>
        <w:t>Class diagram</w:t>
      </w:r>
    </w:p>
    <w:p>
      <w:r>
        <w:drawing>
          <wp:inline xmlns:a="http://schemas.openxmlformats.org/drawingml/2006/main" xmlns:pic="http://schemas.openxmlformats.org/drawingml/2006/picture">
            <wp:extent cx="5760720" cy="12225528"/>
            <wp:docPr id="1" name="Picture 1"/>
            <wp:cNvGraphicFramePr>
              <a:graphicFrameLocks noChangeAspect="1"/>
            </wp:cNvGraphicFramePr>
            <a:graphic>
              <a:graphicData uri="http://schemas.openxmlformats.org/drawingml/2006/picture">
                <pic:pic>
                  <pic:nvPicPr>
                    <pic:cNvPr id="0" name="BeModelDiagnosticReportDiabetes-uml.png"/>
                    <pic:cNvPicPr/>
                  </pic:nvPicPr>
                  <pic:blipFill>
                    <a:blip r:embed="rId9"/>
                    <a:stretch>
                      <a:fillRect/>
                    </a:stretch>
                  </pic:blipFill>
                  <pic:spPr>
                    <a:xfrm>
                      <a:off x="0" y="0"/>
                      <a:ext cx="5760720" cy="12225528"/>
                    </a:xfrm>
                    <a:prstGeom prst="rect"/>
                  </pic:spPr>
                </pic:pic>
              </a:graphicData>
            </a:graphic>
          </wp:inline>
        </w:drawing>
      </w:r>
    </w:p>
    <w:p>
      <w:pPr>
        <w:pStyle w:val="Heading1"/>
      </w:pPr>
      <w:r>
        <w:t>Structure</w:t>
      </w:r>
    </w:p>
    <w:p>
      <w:r>
        <w:drawing>
          <wp:inline xmlns:a="http://schemas.openxmlformats.org/drawingml/2006/main" xmlns:pic="http://schemas.openxmlformats.org/drawingml/2006/picture">
            <wp:extent cx="5760720" cy="6411932"/>
            <wp:docPr id="2" name="Picture 2"/>
            <wp:cNvGraphicFramePr>
              <a:graphicFrameLocks noChangeAspect="1"/>
            </wp:cNvGraphicFramePr>
            <a:graphic>
              <a:graphicData uri="http://schemas.openxmlformats.org/drawingml/2006/picture">
                <pic:pic>
                  <pic:nvPicPr>
                    <pic:cNvPr id="0" name="BeModelDiagnosticReportDiabetes.png"/>
                    <pic:cNvPicPr/>
                  </pic:nvPicPr>
                  <pic:blipFill>
                    <a:blip r:embed="rId10"/>
                    <a:stretch>
                      <a:fillRect/>
                    </a:stretch>
                  </pic:blipFill>
                  <pic:spPr>
                    <a:xfrm>
                      <a:off x="0" y="0"/>
                      <a:ext cx="5760720" cy="6411932"/>
                    </a:xfrm>
                    <a:prstGeom prst="rect"/>
                  </pic:spPr>
                </pic:pic>
              </a:graphicData>
            </a:graphic>
          </wp:inline>
        </w:drawing>
      </w:r>
    </w:p>
    <w:p>
      <w:pPr>
        <w:pStyle w:val="Heading1"/>
      </w:pPr>
      <w:r>
        <w:t>Elements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Element</w:t>
            </w:r>
          </w:p>
        </w:tc>
        <w:tc>
          <w:tcPr>
            <w:tcW w:type="dxa" w:w="1728"/>
          </w:tcPr>
          <w:p>
            <w:r>
              <w:rPr>
                <w:b/>
              </w:rPr>
              <w:t>Card.</w:t>
            </w:r>
          </w:p>
        </w:tc>
        <w:tc>
          <w:tcPr>
            <w:tcW w:type="dxa" w:w="1728"/>
          </w:tcPr>
          <w:p>
            <w:r>
              <w:rPr>
                <w:b/>
              </w:rPr>
              <w:t>Type</w:t>
            </w:r>
          </w:p>
        </w:tc>
        <w:tc>
          <w:tcPr>
            <w:tcW w:type="dxa" w:w="1728"/>
          </w:tcPr>
          <w:p>
            <w:r>
              <w:rPr>
                <w:b/>
              </w:rPr>
              <w:t>Value set</w:t>
            </w:r>
          </w:p>
        </w:tc>
        <w:tc>
          <w:tcPr>
            <w:tcW w:type="dxa" w:w="1728"/>
          </w:tcPr>
          <w:p>
            <w:r>
              <w:rPr>
                <w:b/>
              </w:rPr>
              <w:t>Description</w:t>
            </w:r>
          </w:p>
        </w:tc>
      </w:tr>
      <w:tr>
        <w:tc>
          <w:tcPr>
            <w:tcW w:type="dxa" w:w="1728"/>
          </w:tcPr>
          <w:p>
            <w:pPr>
              <w:ind w:left="0"/>
            </w:pPr>
            <w:r>
              <w:rPr>
                <w:b w:val="0"/>
                <w:i w:val="0"/>
              </w:rPr>
              <w:t>UniqueIdentifierNational</w:t>
            </w:r>
          </w:p>
        </w:tc>
        <w:tc>
          <w:tcPr>
            <w:tcW w:type="dxa" w:w="1728"/>
          </w:tcPr>
          <w:p>
            <w:r>
              <w:t>1..1</w:t>
            </w:r>
          </w:p>
        </w:tc>
        <w:tc>
          <w:tcPr>
            <w:tcW w:type="dxa" w:w="1728"/>
          </w:tcPr>
          <w:p>
            <w:r>
              <w:t>Identifier</w:t>
            </w:r>
          </w:p>
        </w:tc>
        <w:tc>
          <w:tcPr>
            <w:tcW w:type="dxa" w:w="1728"/>
          </w:tcPr>
          <w:p>
            <w:r/>
          </w:p>
        </w:tc>
        <w:tc>
          <w:tcPr>
            <w:tcW w:type="dxa" w:w="1728"/>
          </w:tcPr>
          <w:p>
            <w:r>
              <w:t>Unique business identifier of the report.(https://docs.google.com/document/d/13qamEPfdQ2HgUiXmjwHQNchpEU3LsQHF5MN9jKufX2g/edit?usp=sharing).</w:t>
            </w:r>
          </w:p>
        </w:tc>
      </w:tr>
      <w:tr>
        <w:tc>
          <w:tcPr>
            <w:tcW w:type="dxa" w:w="1728"/>
          </w:tcPr>
          <w:p>
            <w:pPr>
              <w:ind w:left="0"/>
            </w:pPr>
            <w:r>
              <w:rPr>
                <w:b w:val="0"/>
                <w:i w:val="0"/>
              </w:rPr>
              <w:t>BusinessIdentifier</w:t>
            </w:r>
          </w:p>
        </w:tc>
        <w:tc>
          <w:tcPr>
            <w:tcW w:type="dxa" w:w="1728"/>
          </w:tcPr>
          <w:p>
            <w:r>
              <w:t>0..1</w:t>
            </w:r>
          </w:p>
        </w:tc>
        <w:tc>
          <w:tcPr>
            <w:tcW w:type="dxa" w:w="1728"/>
          </w:tcPr>
          <w:p>
            <w:r>
              <w:t>Identifier</w:t>
            </w:r>
          </w:p>
        </w:tc>
        <w:tc>
          <w:tcPr>
            <w:tcW w:type="dxa" w:w="1728"/>
          </w:tcPr>
          <w:p>
            <w:r/>
          </w:p>
        </w:tc>
        <w:tc>
          <w:tcPr>
            <w:tcW w:type="dxa" w:w="1728"/>
          </w:tcPr>
          <w:p>
            <w:r>
              <w:t>Report identifier for the internal supplier's business.</w:t>
            </w:r>
          </w:p>
        </w:tc>
      </w:tr>
      <w:tr>
        <w:tc>
          <w:tcPr>
            <w:tcW w:type="dxa" w:w="1728"/>
          </w:tcPr>
          <w:p>
            <w:pPr>
              <w:ind w:left="0"/>
            </w:pPr>
            <w:r>
              <w:rPr>
                <w:b w:val="0"/>
                <w:i w:val="0"/>
              </w:rPr>
              <w:t>RecordedDate</w:t>
            </w:r>
          </w:p>
        </w:tc>
        <w:tc>
          <w:tcPr>
            <w:tcW w:type="dxa" w:w="1728"/>
          </w:tcPr>
          <w:p>
            <w:r>
              <w:t>1..1</w:t>
            </w:r>
          </w:p>
        </w:tc>
        <w:tc>
          <w:tcPr>
            <w:tcW w:type="dxa" w:w="1728"/>
          </w:tcPr>
          <w:p>
            <w:r>
              <w:t>dateTime</w:t>
            </w:r>
          </w:p>
        </w:tc>
        <w:tc>
          <w:tcPr>
            <w:tcW w:type="dxa" w:w="1728"/>
          </w:tcPr>
          <w:p>
            <w:r/>
          </w:p>
        </w:tc>
        <w:tc>
          <w:tcPr>
            <w:tcW w:type="dxa" w:w="1728"/>
          </w:tcPr>
          <w:p>
            <w:r>
              <w:t>Date the report was produced.</w:t>
            </w:r>
          </w:p>
        </w:tc>
      </w:tr>
      <w:tr>
        <w:tc>
          <w:tcPr>
            <w:tcW w:type="dxa" w:w="1728"/>
          </w:tcPr>
          <w:p>
            <w:pPr>
              <w:ind w:left="0"/>
            </w:pPr>
            <w:r>
              <w:rPr>
                <w:b w:val="0"/>
                <w:i w:val="0"/>
              </w:rPr>
              <w:t>ObservationPeriod</w:t>
            </w:r>
          </w:p>
        </w:tc>
        <w:tc>
          <w:tcPr>
            <w:tcW w:type="dxa" w:w="1728"/>
          </w:tcPr>
          <w:p>
            <w:r>
              <w:t>1..1</w:t>
            </w:r>
          </w:p>
        </w:tc>
        <w:tc>
          <w:tcPr>
            <w:tcW w:type="dxa" w:w="1728"/>
          </w:tcPr>
          <w:p>
            <w:r>
              <w:t>Period</w:t>
            </w:r>
          </w:p>
        </w:tc>
        <w:tc>
          <w:tcPr>
            <w:tcW w:type="dxa" w:w="1728"/>
          </w:tcPr>
          <w:p>
            <w:r/>
          </w:p>
        </w:tc>
        <w:tc>
          <w:tcPr>
            <w:tcW w:type="dxa" w:w="1728"/>
          </w:tcPr>
          <w:p>
            <w:r>
              <w:t>From date to date corresponding to the period covered by the report. Typically 14 to 30 days. See 2.1 above, Figure 3 Data relationship logic.</w:t>
            </w:r>
          </w:p>
        </w:tc>
      </w:tr>
      <w:tr>
        <w:tc>
          <w:tcPr>
            <w:tcW w:type="dxa" w:w="1728"/>
          </w:tcPr>
          <w:p>
            <w:pPr>
              <w:ind w:left="0"/>
            </w:pPr>
            <w:r>
              <w:rPr>
                <w:b w:val="0"/>
                <w:i w:val="0"/>
              </w:rPr>
              <w:t>Patient</w:t>
            </w:r>
          </w:p>
        </w:tc>
        <w:tc>
          <w:tcPr>
            <w:tcW w:type="dxa" w:w="1728"/>
          </w:tcPr>
          <w:p>
            <w:r>
              <w:t>1..1</w:t>
            </w:r>
          </w:p>
        </w:tc>
        <w:tc>
          <w:tcPr>
            <w:tcW w:type="dxa" w:w="1728"/>
          </w:tcPr>
          <w:p>
            <w:r>
              <w:t>Identifier</w:t>
            </w:r>
          </w:p>
        </w:tc>
        <w:tc>
          <w:tcPr>
            <w:tcW w:type="dxa" w:w="1728"/>
          </w:tcPr>
          <w:p>
            <w:r/>
          </w:p>
        </w:tc>
        <w:tc>
          <w:tcPr>
            <w:tcW w:type="dxa" w:w="1728"/>
          </w:tcPr>
          <w:p>
            <w:r>
              <w:t>We refer to the patient, subject of the report, by his unique identifier.This identifier is preferably the patient's national register number (NISS). In some cases, another unique identifier may be allowed.</w:t>
            </w:r>
          </w:p>
        </w:tc>
      </w:tr>
      <w:tr>
        <w:tc>
          <w:tcPr>
            <w:tcW w:type="dxa" w:w="1728"/>
          </w:tcPr>
          <w:p>
            <w:pPr>
              <w:ind w:left="0"/>
            </w:pPr>
            <w:r>
              <w:rPr>
                <w:b w:val="0"/>
                <w:i w:val="0"/>
              </w:rPr>
              <w:t>Recorder</w:t>
            </w:r>
          </w:p>
        </w:tc>
        <w:tc>
          <w:tcPr>
            <w:tcW w:type="dxa" w:w="1728"/>
          </w:tcPr>
          <w:p>
            <w:r>
              <w:t>1..1</w:t>
            </w:r>
          </w:p>
        </w:tc>
        <w:tc>
          <w:tcPr>
            <w:tcW w:type="dxa" w:w="1728"/>
          </w:tcPr>
          <w:p>
            <w:r>
              <w:t>Identifier</w:t>
            </w:r>
          </w:p>
        </w:tc>
        <w:tc>
          <w:tcPr>
            <w:tcW w:type="dxa" w:w="1728"/>
          </w:tcPr>
          <w:p>
            <w:r/>
          </w:p>
        </w:tc>
        <w:tc>
          <w:tcPr>
            <w:tcW w:type="dxa" w:w="1728"/>
          </w:tcPr>
          <w:p>
            <w:r>
              <w:t>This refers to the service provider or organization that encodes the information.[1] The unique identifier for each natural person is the NISS, while for each organization the business number serves as the unique identifier.</w:t>
            </w:r>
          </w:p>
        </w:tc>
      </w:tr>
      <w:tr>
        <w:tc>
          <w:tcPr>
            <w:tcW w:type="dxa" w:w="1728"/>
          </w:tcPr>
          <w:p>
            <w:pPr>
              <w:ind w:left="0"/>
            </w:pPr>
            <w:r>
              <w:rPr>
                <w:b w:val="0"/>
                <w:i w:val="0"/>
              </w:rPr>
              <w:t>Performer</w:t>
            </w:r>
          </w:p>
        </w:tc>
        <w:tc>
          <w:tcPr>
            <w:tcW w:type="dxa" w:w="1728"/>
          </w:tcPr>
          <w:p>
            <w:r>
              <w:t>1..1</w:t>
            </w:r>
          </w:p>
        </w:tc>
        <w:tc>
          <w:tcPr>
            <w:tcW w:type="dxa" w:w="1728"/>
          </w:tcPr>
          <w:p>
            <w:r>
              <w:t>Identifier</w:t>
            </w:r>
          </w:p>
        </w:tc>
        <w:tc>
          <w:tcPr>
            <w:tcW w:type="dxa" w:w="1728"/>
          </w:tcPr>
          <w:p>
            <w:r/>
          </w:p>
        </w:tc>
        <w:tc>
          <w:tcPr>
            <w:tcW w:type="dxa" w:w="1728"/>
          </w:tcPr>
          <w:p>
            <w:r>
              <w:t>We refer to the service provider or organization that collects the observations and produces the report. [2]The unique identifier of each natural person is the NISS, while for each organization the company number serves as the unique identifier.For the Diabetes Diagnostic Report, it is: “performer = recorder.»</w:t>
            </w:r>
          </w:p>
        </w:tc>
      </w:tr>
      <w:tr>
        <w:tc>
          <w:tcPr>
            <w:tcW w:type="dxa" w:w="1728"/>
          </w:tcPr>
          <w:p>
            <w:pPr>
              <w:ind w:left="0"/>
            </w:pPr>
            <w:r>
              <w:rPr>
                <w:b w:val="0"/>
                <w:i w:val="0"/>
              </w:rPr>
              <w:t>Interpreter</w:t>
            </w:r>
          </w:p>
        </w:tc>
        <w:tc>
          <w:tcPr>
            <w:tcW w:type="dxa" w:w="1728"/>
          </w:tcPr>
          <w:p>
            <w:r>
              <w:t>0..1</w:t>
            </w:r>
          </w:p>
        </w:tc>
        <w:tc>
          <w:tcPr>
            <w:tcW w:type="dxa" w:w="1728"/>
          </w:tcPr>
          <w:p>
            <w:r>
              <w:t>Identifier</w:t>
            </w:r>
          </w:p>
        </w:tc>
        <w:tc>
          <w:tcPr>
            <w:tcW w:type="dxa" w:w="1728"/>
          </w:tcPr>
          <w:p>
            <w:r/>
          </w:p>
        </w:tc>
        <w:tc>
          <w:tcPr>
            <w:tcW w:type="dxa" w:w="1728"/>
          </w:tcPr>
          <w:p>
            <w:r>
              <w:t>Care provider identified by their NISS (endocrinologist* , general practitioner, etc.) interprets the observations in the report. ResultsInterpreter This element will not be provided by the producer of the report, but will include the reference of the healthcare provider who does the interpretation.</w:t>
            </w:r>
          </w:p>
        </w:tc>
      </w:tr>
      <w:tr>
        <w:tc>
          <w:tcPr>
            <w:tcW w:type="dxa" w:w="1728"/>
          </w:tcPr>
          <w:p>
            <w:pPr>
              <w:ind w:left="0"/>
            </w:pPr>
            <w:r>
              <w:rPr>
                <w:b w:val="0"/>
                <w:i w:val="0"/>
              </w:rPr>
              <w:t>Category</w:t>
            </w:r>
          </w:p>
        </w:tc>
        <w:tc>
          <w:tcPr>
            <w:tcW w:type="dxa" w:w="1728"/>
          </w:tcPr>
          <w:p>
            <w:r>
              <w:t>1..*</w:t>
            </w:r>
          </w:p>
        </w:tc>
        <w:tc>
          <w:tcPr>
            <w:tcW w:type="dxa" w:w="1728"/>
          </w:tcPr>
          <w:p>
            <w:r>
              <w:t>CodeableConcept</w:t>
            </w:r>
          </w:p>
        </w:tc>
        <w:tc>
          <w:tcPr>
            <w:tcW w:type="dxa" w:w="1728"/>
          </w:tcPr>
          <w:p>
            <w:r/>
          </w:p>
        </w:tc>
        <w:tc>
          <w:tcPr>
            <w:tcW w:type="dxa" w:w="1728"/>
          </w:tcPr>
          <w:p>
            <w:r>
              <w:t>Category of the report. According to ref. 8, it would be appropriate to consider setting the cardinality of the Catgory field to 1..* and to add to this report the values: 4311000179106 |Chemical pathology report (record artifact) and 408475000 |Diabetic medicine (qualifier value). 394583002 |Endocrinology (qualifier value) of the report. Look at VS_DiagRep_Category.</w:t>
            </w:r>
          </w:p>
        </w:tc>
      </w:tr>
      <w:tr>
        <w:tc>
          <w:tcPr>
            <w:tcW w:type="dxa" w:w="1728"/>
          </w:tcPr>
          <w:p>
            <w:pPr>
              <w:ind w:left="0"/>
            </w:pPr>
            <w:r>
              <w:rPr>
                <w:b w:val="0"/>
                <w:i w:val="0"/>
              </w:rPr>
              <w:t>Qualification</w:t>
            </w:r>
          </w:p>
        </w:tc>
        <w:tc>
          <w:tcPr>
            <w:tcW w:type="dxa" w:w="1728"/>
          </w:tcPr>
          <w:p>
            <w:r>
              <w:t>1..1</w:t>
            </w:r>
          </w:p>
        </w:tc>
        <w:tc>
          <w:tcPr>
            <w:tcW w:type="dxa" w:w="1728"/>
          </w:tcPr>
          <w:p>
            <w:r>
              <w:t>CodeableConcept</w:t>
            </w:r>
          </w:p>
        </w:tc>
        <w:tc>
          <w:tcPr>
            <w:tcW w:type="dxa" w:w="1728"/>
          </w:tcPr>
          <w:p>
            <w:r/>
          </w:p>
        </w:tc>
        <w:tc>
          <w:tcPr>
            <w:tcW w:type="dxa" w:w="1728"/>
          </w:tcPr>
          <w:p>
            <w:r>
              <w:t>Is the category of diabetic patient (CAT 1, CAT 2, CAT 3). (See glossary for details).By default, the qualification is “CAT 3”.The category is calculated by an algorithm from the diagnosis provided by the doctor — interpreter.</w:t>
            </w:r>
          </w:p>
        </w:tc>
      </w:tr>
      <w:tr>
        <w:tc>
          <w:tcPr>
            <w:tcW w:type="dxa" w:w="1728"/>
          </w:tcPr>
          <w:p>
            <w:pPr>
              <w:ind w:left="0"/>
            </w:pPr>
            <w:r>
              <w:rPr>
                <w:b w:val="0"/>
                <w:i w:val="0"/>
              </w:rPr>
              <w:t>Device</w:t>
            </w:r>
          </w:p>
        </w:tc>
        <w:tc>
          <w:tcPr>
            <w:tcW w:type="dxa" w:w="1728"/>
          </w:tcPr>
          <w:p>
            <w:r>
              <w:t>0..1</w:t>
            </w:r>
          </w:p>
        </w:tc>
        <w:tc>
          <w:tcPr>
            <w:tcW w:type="dxa" w:w="1728"/>
          </w:tcPr>
          <w:p>
            <w:r>
              <w:t>Identifier</w:t>
            </w:r>
          </w:p>
        </w:tc>
        <w:tc>
          <w:tcPr>
            <w:tcW w:type="dxa" w:w="1728"/>
          </w:tcPr>
          <w:p>
            <w:r/>
          </w:p>
        </w:tc>
        <w:tc>
          <w:tcPr>
            <w:tcW w:type="dxa" w:w="1728"/>
          </w:tcPr>
          <w:p>
            <w:r>
              <w:t>Identification number assigned by INAMI to the sensor type.See VS_Diab_Device</w:t>
            </w:r>
          </w:p>
        </w:tc>
      </w:tr>
      <w:tr>
        <w:tc>
          <w:tcPr>
            <w:tcW w:type="dxa" w:w="1728"/>
          </w:tcPr>
          <w:p>
            <w:pPr>
              <w:ind w:left="0"/>
            </w:pPr>
            <w:r>
              <w:rPr>
                <w:b w:val="0"/>
                <w:i w:val="0"/>
              </w:rPr>
              <w:t>Code</w:t>
            </w:r>
          </w:p>
        </w:tc>
        <w:tc>
          <w:tcPr>
            <w:tcW w:type="dxa" w:w="1728"/>
          </w:tcPr>
          <w:p>
            <w:r>
              <w:t>1..1</w:t>
            </w:r>
          </w:p>
        </w:tc>
        <w:tc>
          <w:tcPr>
            <w:tcW w:type="dxa" w:w="1728"/>
          </w:tcPr>
          <w:p>
            <w:r>
              <w:t>CodeableConcept</w:t>
            </w:r>
          </w:p>
        </w:tc>
        <w:tc>
          <w:tcPr>
            <w:tcW w:type="dxa" w:w="1728"/>
          </w:tcPr>
          <w:p>
            <w:r/>
          </w:p>
        </w:tc>
        <w:tc>
          <w:tcPr>
            <w:tcW w:type="dxa" w:w="1728"/>
          </w:tcPr>
          <w:p>
            <w:r>
              <w:t>Report code. In the diabetes project framework, it is proposed to indicate the type of procedure that leads to the production of the primary values ​​of this report. That is to say 439926003 | Ambulatory continuous glucose monitoring of interstitial tissue fluid. VS_DiagRep_Code.</w:t>
            </w:r>
          </w:p>
        </w:tc>
      </w:tr>
      <w:tr>
        <w:tc>
          <w:tcPr>
            <w:tcW w:type="dxa" w:w="1728"/>
          </w:tcPr>
          <w:p>
            <w:pPr>
              <w:ind w:left="0"/>
            </w:pPr>
            <w:r>
              <w:rPr>
                <w:b w:val="0"/>
                <w:i w:val="0"/>
              </w:rPr>
              <w:t>DerivedObservations</w:t>
            </w:r>
          </w:p>
        </w:tc>
        <w:tc>
          <w:tcPr>
            <w:tcW w:type="dxa" w:w="1728"/>
          </w:tcPr>
          <w:p>
            <w:r>
              <w:t>0..*</w:t>
            </w:r>
          </w:p>
        </w:tc>
        <w:tc>
          <w:tcPr>
            <w:tcW w:type="dxa" w:w="1728"/>
          </w:tcPr>
          <w:p>
            <w:r>
              <w:t>Observation</w:t>
            </w:r>
          </w:p>
        </w:tc>
        <w:tc>
          <w:tcPr>
            <w:tcW w:type="dxa" w:w="1728"/>
          </w:tcPr>
          <w:p>
            <w:r/>
          </w:p>
        </w:tc>
        <w:tc>
          <w:tcPr>
            <w:tcW w:type="dxa" w:w="1728"/>
          </w:tcPr>
          <w:p>
            <w:r>
              <w:t>List of references to “derived values” type observations (a dozen derived observations) mentioned in the report.[3]His observations are part of the diagnostic report.</w:t>
            </w:r>
          </w:p>
        </w:tc>
      </w:tr>
      <w:tr>
        <w:tc>
          <w:tcPr>
            <w:tcW w:type="dxa" w:w="1728"/>
          </w:tcPr>
          <w:p>
            <w:pPr>
              <w:ind w:left="0"/>
            </w:pPr>
            <w:r>
              <w:rPr>
                <w:b w:val="0"/>
                <w:i w:val="0"/>
              </w:rPr>
              <w:t>MeasurementObservations</w:t>
            </w:r>
          </w:p>
        </w:tc>
        <w:tc>
          <w:tcPr>
            <w:tcW w:type="dxa" w:w="1728"/>
          </w:tcPr>
          <w:p>
            <w:r>
              <w:t>0..*</w:t>
            </w:r>
          </w:p>
        </w:tc>
        <w:tc>
          <w:tcPr>
            <w:tcW w:type="dxa" w:w="1728"/>
          </w:tcPr>
          <w:p>
            <w:r>
              <w:t>Observation</w:t>
            </w:r>
          </w:p>
        </w:tc>
        <w:tc>
          <w:tcPr>
            <w:tcW w:type="dxa" w:w="1728"/>
          </w:tcPr>
          <w:p>
            <w:r/>
          </w:p>
        </w:tc>
        <w:tc>
          <w:tcPr>
            <w:tcW w:type="dxa" w:w="1728"/>
          </w:tcPr>
          <w:p>
            <w:r>
              <w:t>List of references to “blood glucose measurement” type observations used to produce the analysis (a few thousand measurements) [4] type (“SCI”)[5]</w:t>
            </w:r>
          </w:p>
        </w:tc>
      </w:tr>
      <w:tr>
        <w:tc>
          <w:tcPr>
            <w:tcW w:type="dxa" w:w="1728"/>
          </w:tcPr>
          <w:p>
            <w:pPr>
              <w:ind w:left="0"/>
            </w:pPr>
            <w:r>
              <w:rPr>
                <w:b w:val="0"/>
                <w:i w:val="0"/>
              </w:rPr>
              <w:t>Diagnosis</w:t>
            </w:r>
          </w:p>
        </w:tc>
        <w:tc>
          <w:tcPr>
            <w:tcW w:type="dxa" w:w="1728"/>
          </w:tcPr>
          <w:p>
            <w:r>
              <w:t>0..*</w:t>
            </w:r>
          </w:p>
        </w:tc>
        <w:tc>
          <w:tcPr>
            <w:tcW w:type="dxa" w:w="1728"/>
          </w:tcPr>
          <w:p>
            <w:r>
              <w:t>Condition</w:t>
            </w:r>
          </w:p>
        </w:tc>
        <w:tc>
          <w:tcPr>
            <w:tcW w:type="dxa" w:w="1728"/>
          </w:tcPr>
          <w:p>
            <w:r/>
          </w:p>
        </w:tc>
        <w:tc>
          <w:tcPr>
            <w:tcW w:type="dxa" w:w="1728"/>
          </w:tcPr>
          <w:p>
            <w:r>
              <w:t>Problem reference related to this diagnostic report.This element will not be provided by the producer of the report but will be provided by the healthcare provider who does the interpretation.</w:t>
            </w:r>
          </w:p>
        </w:tc>
      </w:tr>
      <w:tr>
        <w:tc>
          <w:tcPr>
            <w:tcW w:type="dxa" w:w="1728"/>
          </w:tcPr>
          <w:p>
            <w:pPr>
              <w:ind w:left="0"/>
            </w:pPr>
            <w:r>
              <w:rPr>
                <w:b w:val="0"/>
                <w:i w:val="0"/>
              </w:rPr>
              <w:t>Note</w:t>
            </w:r>
          </w:p>
        </w:tc>
        <w:tc>
          <w:tcPr>
            <w:tcW w:type="dxa" w:w="1728"/>
          </w:tcPr>
          <w:p>
            <w:r>
              <w:t>0..*</w:t>
            </w:r>
          </w:p>
        </w:tc>
        <w:tc>
          <w:tcPr>
            <w:tcW w:type="dxa" w:w="1728"/>
          </w:tcPr>
          <w:p>
            <w:r>
              <w:t>Annotation</w:t>
            </w:r>
          </w:p>
        </w:tc>
        <w:tc>
          <w:tcPr>
            <w:tcW w:type="dxa" w:w="1728"/>
          </w:tcPr>
          <w:p>
            <w:r/>
          </w:p>
        </w:tc>
        <w:tc>
          <w:tcPr>
            <w:tcW w:type="dxa" w:w="1728"/>
          </w:tcPr>
          <w:p>
            <w:r>
              <w:t>Report comments in free text format. This element will not be provided by the producer of the report, but will be provided by the healthcare provider doing the interpretation.</w:t>
            </w:r>
          </w:p>
        </w:tc>
      </w:tr>
      <w:tr>
        <w:tc>
          <w:tcPr>
            <w:tcW w:type="dxa" w:w="1728"/>
          </w:tcPr>
          <w:p>
            <w:pPr>
              <w:ind w:left="0"/>
            </w:pPr>
            <w:r>
              <w:rPr>
                <w:b w:val="0"/>
                <w:i w:val="0"/>
              </w:rPr>
              <w:t>Document</w:t>
            </w:r>
          </w:p>
        </w:tc>
        <w:tc>
          <w:tcPr>
            <w:tcW w:type="dxa" w:w="1728"/>
          </w:tcPr>
          <w:p>
            <w:r>
              <w:t>0..1</w:t>
            </w:r>
          </w:p>
        </w:tc>
        <w:tc>
          <w:tcPr>
            <w:tcW w:type="dxa" w:w="1728"/>
          </w:tcPr>
          <w:p>
            <w:r>
              <w:t>Binary</w:t>
            </w:r>
          </w:p>
        </w:tc>
        <w:tc>
          <w:tcPr>
            <w:tcW w:type="dxa" w:w="1728"/>
          </w:tcPr>
          <w:p>
            <w:r/>
          </w:p>
        </w:tc>
        <w:tc>
          <w:tcPr>
            <w:tcW w:type="dxa" w:w="1728"/>
          </w:tcPr>
          <w:p>
            <w:r>
              <w:t>PDF document containing the complete report (text, graphics, deduced observations, conclusions, etc.)</w:t>
            </w:r>
          </w:p>
        </w:tc>
      </w:tr>
      <w:tr>
        <w:tc>
          <w:tcPr>
            <w:tcW w:type="dxa" w:w="1728"/>
          </w:tcPr>
          <w:p>
            <w:pPr>
              <w:ind w:left="0"/>
            </w:pPr>
            <w:r>
              <w:rPr>
                <w:b w:val="0"/>
                <w:i w:val="0"/>
              </w:rPr>
              <w:t>Status</w:t>
            </w:r>
          </w:p>
        </w:tc>
        <w:tc>
          <w:tcPr>
            <w:tcW w:type="dxa" w:w="1728"/>
          </w:tcPr>
          <w:p>
            <w:r>
              <w:t>0..1</w:t>
            </w:r>
          </w:p>
        </w:tc>
        <w:tc>
          <w:tcPr>
            <w:tcW w:type="dxa" w:w="1728"/>
          </w:tcPr>
          <w:p>
            <w:r>
              <w:t>code</w:t>
            </w:r>
          </w:p>
        </w:tc>
        <w:tc>
          <w:tcPr>
            <w:tcW w:type="dxa" w:w="1728"/>
          </w:tcPr>
          <w:p>
            <w:r/>
          </w:p>
        </w:tc>
        <w:tc>
          <w:tcPr>
            <w:tcW w:type="dxa" w:w="1728"/>
          </w:tcPr>
          <w:p>
            <w:r>
              <w:t>Report status. By default it is “Final”. Value according to the business rule on “% Data Captured” see VS_DiagRep_Status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