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 Model ClinicalReport</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BeModelClinicalReport</w:t>
            </w:r>
          </w:p>
        </w:tc>
      </w:tr>
      <w:tr>
        <w:tc>
          <w:tcPr>
            <w:tcW w:type="dxa" w:w="4320"/>
          </w:tcPr>
          <w:p>
            <w:r>
              <w:rPr>
                <w:b/>
              </w:rPr>
              <w:t>Title</w:t>
            </w:r>
          </w:p>
        </w:tc>
        <w:tc>
          <w:tcPr>
            <w:tcW w:type="dxa" w:w="4320"/>
          </w:tcPr>
          <w:p>
            <w:r>
              <w:t>BE Model ClinicalReport</w:t>
            </w:r>
          </w:p>
        </w:tc>
      </w:tr>
      <w:tr>
        <w:tc>
          <w:tcPr>
            <w:tcW w:type="dxa" w:w="4320"/>
          </w:tcPr>
          <w:p>
            <w:r>
              <w:rPr>
                <w:b/>
              </w:rPr>
              <w:t>Canonical URL</w:t>
            </w:r>
          </w:p>
        </w:tc>
        <w:tc>
          <w:tcPr>
            <w:tcW w:type="dxa" w:w="4320"/>
          </w:tcPr>
          <w:p>
            <w:r>
              <w:t>https://www.ehealth.fgov.be/standards/fhir/patient-dossier/StructureDefinition/BeModelClinicalReport</w:t>
            </w:r>
          </w:p>
        </w:tc>
      </w:tr>
      <w:tr>
        <w:tc>
          <w:tcPr>
            <w:tcW w:type="dxa" w:w="4320"/>
          </w:tcPr>
          <w:p>
            <w:r>
              <w:rPr>
                <w:b/>
              </w:rPr>
              <w:t>Version</w:t>
            </w:r>
          </w:p>
        </w:tc>
        <w:tc>
          <w:tcPr>
            <w:tcW w:type="dxa" w:w="4320"/>
          </w:tcPr>
          <w:p>
            <w:r>
              <w:t>1.0.0</w:t>
            </w:r>
          </w:p>
        </w:tc>
      </w:tr>
      <w:tr>
        <w:tc>
          <w:tcPr>
            <w:tcW w:type="dxa" w:w="4320"/>
          </w:tcPr>
          <w:p>
            <w:r>
              <w:rPr>
                <w:b/>
              </w:rPr>
              <w:t>Status</w:t>
            </w:r>
          </w:p>
        </w:tc>
        <w:tc>
          <w:tcPr>
            <w:tcW w:type="dxa" w:w="4320"/>
          </w:tcPr>
          <w:p>
            <w:r>
              <w:t>draft</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eHealth Platform</w:t>
            </w:r>
          </w:p>
        </w:tc>
      </w:tr>
    </w:tbl>
    <w:p/>
    <w:p>
      <w:r>
        <w:t>Logical model of the CareSet ClinicalReport: a clinical report that collects the essential information for the follow-up of a patient over a defined period, consolidates the referenced clinical observations, reports and documents around a well-defined medical context, and may carry a clinical interpretation. It is intended to be shared between health professionals.</w:t>
      </w:r>
    </w:p>
    <w:p>
      <w:pPr>
        <w:pStyle w:val="Heading1"/>
      </w:pPr>
      <w:r>
        <w:t>Class diagram</w:t>
      </w:r>
    </w:p>
    <w:p>
      <w:r>
        <w:drawing>
          <wp:inline xmlns:a="http://schemas.openxmlformats.org/drawingml/2006/main" xmlns:pic="http://schemas.openxmlformats.org/drawingml/2006/picture">
            <wp:extent cx="3428770" cy="7498079"/>
            <wp:docPr id="1" name="Picture 1"/>
            <wp:cNvGraphicFramePr>
              <a:graphicFrameLocks noChangeAspect="1"/>
            </wp:cNvGraphicFramePr>
            <a:graphic>
              <a:graphicData uri="http://schemas.openxmlformats.org/drawingml/2006/picture">
                <pic:pic>
                  <pic:nvPicPr>
                    <pic:cNvPr id="0" name="BeModelClinicalReport-uml.png"/>
                    <pic:cNvPicPr/>
                  </pic:nvPicPr>
                  <pic:blipFill>
                    <a:blip r:embed="rId9"/>
                    <a:stretch>
                      <a:fillRect/>
                    </a:stretch>
                  </pic:blipFill>
                  <pic:spPr>
                    <a:xfrm>
                      <a:off x="0" y="0"/>
                      <a:ext cx="3428770" cy="7498079"/>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5084796"/>
            <wp:docPr id="2" name="Picture 2"/>
            <wp:cNvGraphicFramePr>
              <a:graphicFrameLocks noChangeAspect="1"/>
            </wp:cNvGraphicFramePr>
            <a:graphic>
              <a:graphicData uri="http://schemas.openxmlformats.org/drawingml/2006/picture">
                <pic:pic>
                  <pic:nvPicPr>
                    <pic:cNvPr id="0" name="BeModelClinicalReport.png"/>
                    <pic:cNvPicPr/>
                  </pic:nvPicPr>
                  <pic:blipFill>
                    <a:blip r:embed="rId10"/>
                    <a:stretch>
                      <a:fillRect/>
                    </a:stretch>
                  </pic:blipFill>
                  <pic:spPr>
                    <a:xfrm>
                      <a:off x="0" y="0"/>
                      <a:ext cx="5760720" cy="5084796"/>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businessIdentifier</w:t>
            </w:r>
          </w:p>
        </w:tc>
        <w:tc>
          <w:tcPr>
            <w:tcW w:type="dxa" w:w="1728"/>
          </w:tcPr>
          <w:p>
            <w:r>
              <w:t>1..*</w:t>
            </w:r>
          </w:p>
        </w:tc>
        <w:tc>
          <w:tcPr>
            <w:tcW w:type="dxa" w:w="1728"/>
          </w:tcPr>
          <w:p>
            <w:r>
              <w:t>Identifier</w:t>
            </w:r>
          </w:p>
        </w:tc>
        <w:tc>
          <w:tcPr>
            <w:tcW w:type="dxa" w:w="1728"/>
          </w:tcPr>
          <w:p>
            <w:r/>
          </w:p>
        </w:tc>
        <w:tc>
          <w:tcPr>
            <w:tcW w:type="dxa" w:w="1728"/>
          </w:tcPr>
          <w:p>
            <w:r>
              <w:t>Business identifier of the report</w:t>
            </w:r>
          </w:p>
          <w:p>
            <w:r>
              <w:rPr>
                <w:sz w:val="16"/>
              </w:rPr>
              <w:t>Zakelijke identificatie van het verslag.</w:t>
            </w:r>
          </w:p>
        </w:tc>
      </w:tr>
      <w:tr>
        <w:tc>
          <w:tcPr>
            <w:tcW w:type="dxa" w:w="1728"/>
          </w:tcPr>
          <w:p>
            <w:pPr>
              <w:ind w:left="0"/>
            </w:pPr>
            <w:r>
              <w:rPr>
                <w:b w:val="0"/>
                <w:i w:val="0"/>
              </w:rPr>
              <w:t>basedOn</w:t>
            </w:r>
          </w:p>
        </w:tc>
        <w:tc>
          <w:tcPr>
            <w:tcW w:type="dxa" w:w="1728"/>
          </w:tcPr>
          <w:p>
            <w:r>
              <w:t>0..1</w:t>
            </w:r>
          </w:p>
        </w:tc>
        <w:tc>
          <w:tcPr>
            <w:tcW w:type="dxa" w:w="1728"/>
          </w:tcPr>
          <w:p>
            <w:r>
              <w:t>Reference</w:t>
            </w:r>
          </w:p>
        </w:tc>
        <w:tc>
          <w:tcPr>
            <w:tcW w:type="dxa" w:w="1728"/>
          </w:tcPr>
          <w:p>
            <w:r/>
          </w:p>
        </w:tc>
        <w:tc>
          <w:tcPr>
            <w:tcW w:type="dxa" w:w="1728"/>
          </w:tcPr>
          <w:p>
            <w:r>
              <w:t>Reference to the request underlying the report</w:t>
            </w:r>
          </w:p>
          <w:p>
            <w:r>
              <w:rPr>
                <w:sz w:val="16"/>
              </w:rPr>
              <w:t>Verwijzing naar de aanvraag die aan de basis van het verslag ligt. Bv.: verwijsvoorschrift (telemonitoring).</w:t>
            </w:r>
          </w:p>
        </w:tc>
      </w:tr>
      <w:tr>
        <w:tc>
          <w:tcPr>
            <w:tcW w:type="dxa" w:w="1728"/>
          </w:tcPr>
          <w:p>
            <w:pPr>
              <w:ind w:left="0"/>
            </w:pPr>
            <w:r>
              <w:rPr>
                <w:b w:val="0"/>
                <w:i w:val="0"/>
              </w:rPr>
              <w:t>recordedDate</w:t>
            </w:r>
          </w:p>
        </w:tc>
        <w:tc>
          <w:tcPr>
            <w:tcW w:type="dxa" w:w="1728"/>
          </w:tcPr>
          <w:p>
            <w:r>
              <w:t>1..1</w:t>
            </w:r>
          </w:p>
        </w:tc>
        <w:tc>
          <w:tcPr>
            <w:tcW w:type="dxa" w:w="1728"/>
          </w:tcPr>
          <w:p>
            <w:r>
              <w:t>dateTime</w:t>
            </w:r>
          </w:p>
        </w:tc>
        <w:tc>
          <w:tcPr>
            <w:tcW w:type="dxa" w:w="1728"/>
          </w:tcPr>
          <w:p>
            <w:r/>
          </w:p>
        </w:tc>
        <w:tc>
          <w:tcPr>
            <w:tcW w:type="dxa" w:w="1728"/>
          </w:tcPr>
          <w:p>
            <w:r>
              <w:t>Date the report was recorded / last updated</w:t>
            </w:r>
          </w:p>
          <w:p>
            <w:r>
              <w:rPr>
                <w:sz w:val="16"/>
              </w:rPr>
              <w:t>Datum van de laatste (functionele) bijwerking van het verslag.</w:t>
            </w:r>
          </w:p>
        </w:tc>
      </w:tr>
      <w:tr>
        <w:tc>
          <w:tcPr>
            <w:tcW w:type="dxa" w:w="1728"/>
          </w:tcPr>
          <w:p>
            <w:pPr>
              <w:ind w:left="0"/>
            </w:pPr>
            <w:r>
              <w:rPr>
                <w:b w:val="0"/>
                <w:i w:val="0"/>
              </w:rPr>
              <w:t>observationPeriod</w:t>
            </w:r>
          </w:p>
        </w:tc>
        <w:tc>
          <w:tcPr>
            <w:tcW w:type="dxa" w:w="1728"/>
          </w:tcPr>
          <w:p>
            <w:r>
              <w:t>1..1</w:t>
            </w:r>
          </w:p>
        </w:tc>
        <w:tc>
          <w:tcPr>
            <w:tcW w:type="dxa" w:w="1728"/>
          </w:tcPr>
          <w:p>
            <w:r>
              <w:t>Period</w:t>
            </w:r>
          </w:p>
        </w:tc>
        <w:tc>
          <w:tcPr>
            <w:tcW w:type="dxa" w:w="1728"/>
          </w:tcPr>
          <w:p>
            <w:r/>
          </w:p>
        </w:tc>
        <w:tc>
          <w:tcPr>
            <w:tcW w:type="dxa" w:w="1728"/>
          </w:tcPr>
          <w:p>
            <w:r>
              <w:t>Period the report covers</w:t>
            </w:r>
          </w:p>
          <w:p>
            <w:r>
              <w:rPr>
                <w:sz w:val="16"/>
              </w:rPr>
              <w:t>Van-datum tot-datum die overeenkomt met de periode waarop het verslag betrekking heeft.</w:t>
            </w:r>
          </w:p>
        </w:tc>
      </w:tr>
      <w:tr>
        <w:tc>
          <w:tcPr>
            <w:tcW w:type="dxa" w:w="1728"/>
          </w:tcPr>
          <w:p>
            <w:pPr>
              <w:ind w:left="0"/>
            </w:pPr>
            <w:r>
              <w:rPr>
                <w:b w:val="0"/>
                <w:i w:val="0"/>
              </w:rPr>
              <w:t>patient</w:t>
            </w:r>
          </w:p>
        </w:tc>
        <w:tc>
          <w:tcPr>
            <w:tcW w:type="dxa" w:w="1728"/>
          </w:tcPr>
          <w:p>
            <w:r>
              <w:t>1..1</w:t>
            </w:r>
          </w:p>
        </w:tc>
        <w:tc>
          <w:tcPr>
            <w:tcW w:type="dxa" w:w="1728"/>
          </w:tcPr>
          <w:p>
            <w:r>
              <w:t>Reference(Patient)</w:t>
            </w:r>
          </w:p>
        </w:tc>
        <w:tc>
          <w:tcPr>
            <w:tcW w:type="dxa" w:w="1728"/>
          </w:tcPr>
          <w:p>
            <w:r/>
          </w:p>
        </w:tc>
        <w:tc>
          <w:tcPr>
            <w:tcW w:type="dxa" w:w="1728"/>
          </w:tcPr>
          <w:p>
            <w:r>
              <w:t>The patient the report is about</w:t>
            </w:r>
          </w:p>
          <w:p>
            <w:r>
              <w:rPr>
                <w:sz w:val="16"/>
              </w:rPr>
              <w:t>De persoon die het onderwerp is van de gezondheidszorg waarnaar de registratie (CareSet) verwijst. Zie BR PP 'Identificatie natuurlijke persoon'.</w:t>
            </w:r>
          </w:p>
        </w:tc>
      </w:tr>
      <w:tr>
        <w:tc>
          <w:tcPr>
            <w:tcW w:type="dxa" w:w="1728"/>
          </w:tcPr>
          <w:p>
            <w:pPr>
              <w:ind w:left="0"/>
            </w:pPr>
            <w:r>
              <w:rPr>
                <w:b w:val="0"/>
                <w:i w:val="0"/>
              </w:rPr>
              <w:t>recorder</w:t>
            </w:r>
          </w:p>
        </w:tc>
        <w:tc>
          <w:tcPr>
            <w:tcW w:type="dxa" w:w="1728"/>
          </w:tcPr>
          <w:p>
            <w:r>
              <w:t>1..1</w:t>
            </w:r>
          </w:p>
        </w:tc>
        <w:tc>
          <w:tcPr>
            <w:tcW w:type="dxa" w:w="1728"/>
          </w:tcPr>
          <w:p>
            <w:r>
              <w:t>Reference</w:t>
            </w:r>
          </w:p>
        </w:tc>
        <w:tc>
          <w:tcPr>
            <w:tcW w:type="dxa" w:w="1728"/>
          </w:tcPr>
          <w:p>
            <w:r/>
          </w:p>
        </w:tc>
        <w:tc>
          <w:tcPr>
            <w:tcW w:type="dxa" w:w="1728"/>
          </w:tcPr>
          <w:p>
            <w:r>
              <w:t>Who recorded the report</w:t>
            </w:r>
          </w:p>
          <w:p>
            <w:r>
              <w:rPr>
                <w:sz w:val="16"/>
              </w:rPr>
              <w:t>De gezondheidszorgbeoefenaar of organisatie die de informatie registreert en de verantwoordelijkheid voor de inhoud ervan op zich neemt. Zie BR PP 'Identificatie natuurlijke persoon'.</w:t>
            </w:r>
          </w:p>
        </w:tc>
      </w:tr>
      <w:tr>
        <w:tc>
          <w:tcPr>
            <w:tcW w:type="dxa" w:w="1728"/>
          </w:tcPr>
          <w:p>
            <w:pPr>
              <w:ind w:left="0"/>
            </w:pPr>
            <w:r>
              <w:rPr>
                <w:b w:val="0"/>
                <w:i w:val="0"/>
              </w:rPr>
              <w:t>interpreter</w:t>
            </w:r>
          </w:p>
        </w:tc>
        <w:tc>
          <w:tcPr>
            <w:tcW w:type="dxa" w:w="1728"/>
          </w:tcPr>
          <w:p>
            <w:r>
              <w:t>0..1</w:t>
            </w:r>
          </w:p>
        </w:tc>
        <w:tc>
          <w:tcPr>
            <w:tcW w:type="dxa" w:w="1728"/>
          </w:tcPr>
          <w:p>
            <w:r>
              <w:t>Reference</w:t>
            </w:r>
          </w:p>
        </w:tc>
        <w:tc>
          <w:tcPr>
            <w:tcW w:type="dxa" w:w="1728"/>
          </w:tcPr>
          <w:p>
            <w:r/>
          </w:p>
        </w:tc>
        <w:tc>
          <w:tcPr>
            <w:tcW w:type="dxa" w:w="1728"/>
          </w:tcPr>
          <w:p>
            <w:r>
              <w:t>Who interprets the observations of the report</w:t>
            </w:r>
          </w:p>
          <w:p>
            <w:r>
              <w:rPr>
                <w:sz w:val="16"/>
              </w:rPr>
              <w:t>De zorgverlener die de observaties van het verslag interpreteert. Bv.: endocrinoloog, huisarts. Zie BR PP 'Identificatie natuurlijke persoon'.</w:t>
            </w:r>
          </w:p>
        </w:tc>
      </w:tr>
      <w:tr>
        <w:tc>
          <w:tcPr>
            <w:tcW w:type="dxa" w:w="1728"/>
          </w:tcPr>
          <w:p>
            <w:pPr>
              <w:ind w:left="0"/>
            </w:pPr>
            <w:r>
              <w:rPr>
                <w:b w:val="0"/>
                <w:i w:val="0"/>
              </w:rPr>
              <w:t>interpretation</w:t>
            </w:r>
          </w:p>
        </w:tc>
        <w:tc>
          <w:tcPr>
            <w:tcW w:type="dxa" w:w="1728"/>
          </w:tcPr>
          <w:p>
            <w:r>
              <w:t>0..1</w:t>
            </w:r>
          </w:p>
        </w:tc>
        <w:tc>
          <w:tcPr>
            <w:tcW w:type="dxa" w:w="1728"/>
          </w:tcPr>
          <w:p>
            <w:r>
              <w:t>string</w:t>
            </w:r>
          </w:p>
        </w:tc>
        <w:tc>
          <w:tcPr>
            <w:tcW w:type="dxa" w:w="1728"/>
          </w:tcPr>
          <w:p>
            <w:r/>
          </w:p>
        </w:tc>
        <w:tc>
          <w:tcPr>
            <w:tcW w:type="dxa" w:w="1728"/>
          </w:tcPr>
          <w:p>
            <w:r>
              <w:t>Textual interpretation of the observations and/or the thought process that leads to a conclusion</w:t>
            </w:r>
          </w:p>
          <w:p>
            <w:r>
              <w:rPr>
                <w:sz w:val="16"/>
              </w:rPr>
              <w:t>Klinische conclusie (interpretatie) van de testresultaten, uitgedrukt als code of als vrije tekst. Dit element wordt geleverd door de zorgverlener die de interpretatie uitvoert. Zie BR RIN.</w:t>
            </w:r>
          </w:p>
        </w:tc>
      </w:tr>
      <w:tr>
        <w:tc>
          <w:tcPr>
            <w:tcW w:type="dxa" w:w="1728"/>
          </w:tcPr>
          <w:p>
            <w:pPr>
              <w:ind w:left="0"/>
            </w:pPr>
            <w:r>
              <w:rPr>
                <w:b w:val="0"/>
                <w:i w:val="0"/>
              </w:rPr>
              <w:t>conclusion</w:t>
            </w:r>
          </w:p>
        </w:tc>
        <w:tc>
          <w:tcPr>
            <w:tcW w:type="dxa" w:w="1728"/>
          </w:tcPr>
          <w:p>
            <w:r>
              <w:t>0..*</w:t>
            </w:r>
          </w:p>
        </w:tc>
        <w:tc>
          <w:tcPr>
            <w:tcW w:type="dxa" w:w="1728"/>
          </w:tcPr>
          <w:p>
            <w:r>
              <w:t>CodeableConcept</w:t>
            </w:r>
          </w:p>
        </w:tc>
        <w:tc>
          <w:tcPr>
            <w:tcW w:type="dxa" w:w="1728"/>
          </w:tcPr>
          <w:p>
            <w:r/>
          </w:p>
        </w:tc>
        <w:tc>
          <w:tcPr>
            <w:tcW w:type="dxa" w:w="1728"/>
          </w:tcPr>
          <w:p>
            <w:r>
              <w:t>Clinical conclusion (interpretation) of the results</w:t>
            </w:r>
          </w:p>
          <w:p>
            <w:r>
              <w:rPr>
                <w:sz w:val="16"/>
              </w:rPr>
              <w:t>Clinical conclusion (interpretation) of the test results, expressed as a code or as free text. This element is provided by the care provider who performs the interpretation. See BR RIN.</w:t>
            </w:r>
          </w:p>
        </w:tc>
      </w:tr>
      <w:tr>
        <w:tc>
          <w:tcPr>
            <w:tcW w:type="dxa" w:w="1728"/>
          </w:tcPr>
          <w:p>
            <w:pPr>
              <w:ind w:left="0"/>
            </w:pPr>
            <w:r>
              <w:rPr>
                <w:b w:val="0"/>
                <w:i w:val="0"/>
              </w:rPr>
              <w:t>category</w:t>
            </w:r>
          </w:p>
        </w:tc>
        <w:tc>
          <w:tcPr>
            <w:tcW w:type="dxa" w:w="1728"/>
          </w:tcPr>
          <w:p>
            <w:r>
              <w:t>0..*</w:t>
            </w:r>
          </w:p>
        </w:tc>
        <w:tc>
          <w:tcPr>
            <w:tcW w:type="dxa" w:w="1728"/>
          </w:tcPr>
          <w:p>
            <w:r>
              <w:t>CodeableConcept</w:t>
            </w:r>
          </w:p>
        </w:tc>
        <w:tc>
          <w:tcPr>
            <w:tcW w:type="dxa" w:w="1728"/>
          </w:tcPr>
          <w:p>
            <w:r>
              <w:t>be-vs-clinicalreport-category</w:t>
            </w:r>
          </w:p>
        </w:tc>
        <w:tc>
          <w:tcPr>
            <w:tcW w:type="dxa" w:w="1728"/>
          </w:tcPr>
          <w:p>
            <w:r>
              <w:t>Clinical/functional classification of the report</w:t>
            </w:r>
          </w:p>
          <w:p>
            <w:r>
              <w:rPr>
                <w:sz w:val="16"/>
              </w:rPr>
              <w:t>Een categorie is een classificatiekenmerk van een gegevenselement in een CareSet, gedefinieerd door een gestandaardiseerde ValueSet, waarmee informatie kan worden gegroepeerd volgens de klinische of functionele betekenis ervan. Bv. Glucosemonitoring, Cardiologie. Zie VS_Rep_Category.</w:t>
            </w:r>
          </w:p>
        </w:tc>
      </w:tr>
      <w:tr>
        <w:tc>
          <w:tcPr>
            <w:tcW w:type="dxa" w:w="1728"/>
          </w:tcPr>
          <w:p>
            <w:pPr>
              <w:ind w:left="0"/>
            </w:pPr>
            <w:r>
              <w:rPr>
                <w:b w:val="0"/>
                <w:i w:val="0"/>
              </w:rPr>
              <w:t>code</w:t>
            </w:r>
          </w:p>
        </w:tc>
        <w:tc>
          <w:tcPr>
            <w:tcW w:type="dxa" w:w="1728"/>
          </w:tcPr>
          <w:p>
            <w:r>
              <w:t>1..1</w:t>
            </w:r>
          </w:p>
        </w:tc>
        <w:tc>
          <w:tcPr>
            <w:tcW w:type="dxa" w:w="1728"/>
          </w:tcPr>
          <w:p>
            <w:r>
              <w:t>CodeableConcept</w:t>
            </w:r>
          </w:p>
        </w:tc>
        <w:tc>
          <w:tcPr>
            <w:tcW w:type="dxa" w:w="1728"/>
          </w:tcPr>
          <w:p>
            <w:r>
              <w:t>be-vs-clinicalreport-code</w:t>
            </w:r>
          </w:p>
        </w:tc>
        <w:tc>
          <w:tcPr>
            <w:tcW w:type="dxa" w:w="1728"/>
          </w:tcPr>
          <w:p>
            <w:r>
              <w:t>Code of the report</w:t>
            </w:r>
          </w:p>
          <w:p>
            <w:r>
              <w:rPr>
                <w:sz w:val="16"/>
              </w:rPr>
              <w:t>Code van het verslag. Het geeft het type procedure aan dat leidt tot de productie van de primaire waarden (measurement clinical observations) van dit verslag. Zie VS_Rep_Code.</w:t>
            </w:r>
          </w:p>
        </w:tc>
      </w:tr>
      <w:tr>
        <w:tc>
          <w:tcPr>
            <w:tcW w:type="dxa" w:w="1728"/>
          </w:tcPr>
          <w:p>
            <w:pPr>
              <w:ind w:left="0"/>
            </w:pPr>
            <w:r>
              <w:rPr>
                <w:b w:val="0"/>
                <w:i w:val="0"/>
              </w:rPr>
              <w:t>clinicalObservations</w:t>
            </w:r>
          </w:p>
        </w:tc>
        <w:tc>
          <w:tcPr>
            <w:tcW w:type="dxa" w:w="1728"/>
          </w:tcPr>
          <w:p>
            <w:r>
              <w:t>0..*</w:t>
            </w:r>
          </w:p>
        </w:tc>
        <w:tc>
          <w:tcPr>
            <w:tcW w:type="dxa" w:w="1728"/>
          </w:tcPr>
          <w:p>
            <w:r>
              <w:t>Reference(Observation)</w:t>
            </w:r>
          </w:p>
        </w:tc>
        <w:tc>
          <w:tcPr>
            <w:tcW w:type="dxa" w:w="1728"/>
          </w:tcPr>
          <w:p>
            <w:r/>
          </w:p>
        </w:tc>
        <w:tc>
          <w:tcPr>
            <w:tcW w:type="dxa" w:w="1728"/>
          </w:tcPr>
          <w:p>
            <w:r>
              <w:t>Referenced clinical observations</w:t>
            </w:r>
          </w:p>
          <w:p>
            <w:r>
              <w:rPr>
                <w:sz w:val="16"/>
              </w:rPr>
              <w:t>Lijst met verwijzingen naar de verschillende ClinicalObservations die deel uitmaken van het verslag.</w:t>
            </w:r>
          </w:p>
        </w:tc>
      </w:tr>
      <w:tr>
        <w:tc>
          <w:tcPr>
            <w:tcW w:type="dxa" w:w="1728"/>
          </w:tcPr>
          <w:p>
            <w:pPr>
              <w:ind w:left="0"/>
            </w:pPr>
            <w:r>
              <w:rPr>
                <w:b w:val="0"/>
                <w:i w:val="0"/>
              </w:rPr>
              <w:t>note</w:t>
            </w:r>
          </w:p>
        </w:tc>
        <w:tc>
          <w:tcPr>
            <w:tcW w:type="dxa" w:w="1728"/>
          </w:tcPr>
          <w:p>
            <w:r>
              <w:t>0..*</w:t>
            </w:r>
          </w:p>
        </w:tc>
        <w:tc>
          <w:tcPr>
            <w:tcW w:type="dxa" w:w="1728"/>
          </w:tcPr>
          <w:p>
            <w:r>
              <w:t>Annotation</w:t>
            </w:r>
          </w:p>
        </w:tc>
        <w:tc>
          <w:tcPr>
            <w:tcW w:type="dxa" w:w="1728"/>
          </w:tcPr>
          <w:p>
            <w:r/>
          </w:p>
        </w:tc>
        <w:tc>
          <w:tcPr>
            <w:tcW w:type="dxa" w:w="1728"/>
          </w:tcPr>
          <w:p>
            <w:r>
              <w:t>Free-text additional information</w:t>
            </w:r>
          </w:p>
          <w:p>
            <w:r>
              <w:rPr>
                <w:sz w:val="16"/>
              </w:rPr>
              <w:t>Aanvullende informatie over de inhoud van de CareSet in vrijetekstformaat.</w:t>
            </w:r>
          </w:p>
        </w:tc>
      </w:tr>
      <w:tr>
        <w:tc>
          <w:tcPr>
            <w:tcW w:type="dxa" w:w="1728"/>
          </w:tcPr>
          <w:p>
            <w:pPr>
              <w:ind w:left="0"/>
            </w:pPr>
            <w:r>
              <w:rPr>
                <w:b w:val="0"/>
                <w:i w:val="0"/>
              </w:rPr>
              <w:t>document</w:t>
            </w:r>
          </w:p>
        </w:tc>
        <w:tc>
          <w:tcPr>
            <w:tcW w:type="dxa" w:w="1728"/>
          </w:tcPr>
          <w:p>
            <w:r>
              <w:t>0..1</w:t>
            </w:r>
          </w:p>
        </w:tc>
        <w:tc>
          <w:tcPr>
            <w:tcW w:type="dxa" w:w="1728"/>
          </w:tcPr>
          <w:p>
            <w:r>
              <w:t>Attachment</w:t>
            </w:r>
          </w:p>
        </w:tc>
        <w:tc>
          <w:tcPr>
            <w:tcW w:type="dxa" w:w="1728"/>
          </w:tcPr>
          <w:p>
            <w:r/>
          </w:p>
        </w:tc>
        <w:tc>
          <w:tcPr>
            <w:tcW w:type="dxa" w:w="1728"/>
          </w:tcPr>
          <w:p>
            <w:r>
              <w:t>PDF document of the complete report</w:t>
            </w:r>
          </w:p>
          <w:p>
            <w:r>
              <w:rPr>
                <w:sz w:val="16"/>
              </w:rPr>
              <w:t>PDF-document met het volledige verslag (tekst, grafieken, afgeleide observaties, conclusies, ...).</w:t>
            </w:r>
          </w:p>
        </w:tc>
      </w:tr>
      <w:tr>
        <w:tc>
          <w:tcPr>
            <w:tcW w:type="dxa" w:w="1728"/>
          </w:tcPr>
          <w:p>
            <w:pPr>
              <w:ind w:left="0"/>
            </w:pPr>
            <w:r>
              <w:rPr>
                <w:b w:val="0"/>
                <w:i w:val="0"/>
              </w:rPr>
              <w:t>status</w:t>
            </w:r>
          </w:p>
        </w:tc>
        <w:tc>
          <w:tcPr>
            <w:tcW w:type="dxa" w:w="1728"/>
          </w:tcPr>
          <w:p>
            <w:r>
              <w:t>1..1</w:t>
            </w:r>
          </w:p>
        </w:tc>
        <w:tc>
          <w:tcPr>
            <w:tcW w:type="dxa" w:w="1728"/>
          </w:tcPr>
          <w:p>
            <w:r>
              <w:t>code</w:t>
            </w:r>
          </w:p>
        </w:tc>
        <w:tc>
          <w:tcPr>
            <w:tcW w:type="dxa" w:w="1728"/>
          </w:tcPr>
          <w:p>
            <w:r>
              <w:t>diagnostic-report-status</w:t>
            </w:r>
          </w:p>
        </w:tc>
        <w:tc>
          <w:tcPr>
            <w:tcW w:type="dxa" w:w="1728"/>
          </w:tcPr>
          <w:p>
            <w:r>
              <w:t>Status of the report</w:t>
            </w:r>
          </w:p>
          <w:p>
            <w:r>
              <w:rPr>
                <w:sz w:val="16"/>
              </w:rPr>
              <w:t>Status van het verslag. De standaardwaarde is 'final' (Eindverslag). Zie VS_Status.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