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BeModelPatient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BeModelPatient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BeModelPatient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https://www.ehealth.fgov.be/standards/fhir/core/StructureDefinition/BeModelPatient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2.2.0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Data about a patient, according to the [National Register of Persons (Ministry of the Interior)](https://www.ibz.rrn.fgov.be/fileadmin/user_upload/nl/rr/bestand-rr/bestand-RR.pdf), and possibly other sources to be mentioned when used.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4402326" cy="7498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2326" cy="7498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7470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7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names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Names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usage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Usage context of the name (e.g. NR 11, if the name is used as a pseudonym)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familyname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Surname (NR 10)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firstnames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Given names (NR 10)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title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Title of nobility (NR 12)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Period of validity of the name (e.g. NR 13 Change of name, first names and title of nobility)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birth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Birth data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address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Address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Place of birth (NR 100 or NR 101)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birth (NR 100 or NR 101)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gender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Gender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administrative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Gender (integrated in the identification no.: 000)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atbirth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Gender at birth, accounts for gender changes and errors (NR 2 and NR 4)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social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Gender the person identifies with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nationality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Current nationality (and dual nationality) (NR 31, NR 32)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residence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Address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Main and other residences (NR 1, 3, 5, 18, 19, 20,22, 23, 24, 26, 27). NR 252 will be covered by other privacy rules.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death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and state of death (place of death is not clinically relevant, and we only care about factual death, not absence (NR 151) or administrative/judicial death (NR 150))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death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deceased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is deceased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maritalstatus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Marital Status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