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BeModelPatient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https://www.ehealth.fgov.be/standards/fhir/core/StructureDefinition/BeModelPatient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Data about a patient, according to the [National Register of Persons (Ministry of the Interior)](https://www.ibz.rrn.fgov.be/fileadmin/user_upload/nl/rr/bestand-rr/bestand-RR.pdf), and possibly other sources to be mentioned when used.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4402326" cy="7498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atient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2326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7470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Pati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70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names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Names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usage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Usage context of the name (e.g. NR 11, if the name is used as a pseudonym)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familyname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Surname (NR 10)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firstnames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Given names (NR 10)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Title of nobility (NR 12)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period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Period of validity of the name (e.g. NR 13 Change of name, first names and title of nobility)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birth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Birth data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address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Place of birth (NR 100 or NR 101)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birth (NR 100 or NR 101)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gender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administrative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(integrated in the identification no.: 000)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atbirth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at birth, accounts for gender changes and errors (NR 2 and NR 4)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social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Gender the person identifies with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nationality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Current nationality (and dual nationality) (NR 31, NR 32)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residence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Main and other residences (NR 1, 3, 5, 18, 19, 20,22, 23, 24, 26, 27). NR 252 will be covered by other privacy rules.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death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and state of death (place of death is not clinically relevant, and we only care about factual death, not absence (NR 151) or administrative/judicial death (NR 150))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death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deceased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is deceased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maritalstatus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Marital Status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