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https://www.ehealth.fgov.be/standards/fhir/core/StructureDefinition/BeModelPatient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about a patient, according to the [National Register of Persons (Ministry of the Interior)](https://www.ibz.rrn.fgov.be/fileadmin/user_upload/nl/rr/bestand-rr/bestand-RR.pdf), and possibly other sources to be mentioned when used.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057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7470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names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Names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usage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Usage context of the name (e.g. NR 11, if the name is used as a pseudonym)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familyname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Surname (NR 10)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firstnames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Given names (NR 10)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 of nobility (NR 12)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Period of validity of the name (e.g. NR 13 Change of name, first names and title of nobility)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birth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Birth data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address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Place of birth (NR 100 or NR 101)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birth (NR 100 or NR 101)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gender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administrative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(integrated in the identification no.: 000)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atbirth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at birth, accounts for gender changes and errors (NR 2 and NR 4)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social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the person identifies with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nationality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nationality (and dual nationality) (NR 31, NR 32)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residence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Main and other residences (NR 1, 3, 5, 18, 19, 20,22, 23, 24, 26, 27). NR 252 will be covered by other privacy rules.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death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and state of death (place of death is not clinically relevant, and we only care about factual death, not absence (NR 151) or administrative/judicial death (NR 150))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death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deceased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is deceased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maritalstatus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Marital 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