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Dosaging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BeModelDosagingInformation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Dosaging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https://www.ehealth.fgov.be/standards/fhir/medication/StructureDefinition/BeModelDosagingInformation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Structured Dosage data model.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233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sagingInform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118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sagingInfor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timing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medication should be administered (period, time of day, frequency, etc)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event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Exact date and/or time of the administration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Timing abbreviation (AM - morning, Q4H - once in every 4 hours, BID - twice a day, etc)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doseRange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per one dose (e.g '1 tablet', '2-3 tablets', '20ml')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per one dose (e.g '1 tablet', '2-3 tablets', '20ml')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instructions for the patient, e.g 'take with food', 'do not take with alcohol', etc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routeOfAdministration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BeRouteOfAdministrationVS</w:t>
            </w:r>
          </w:p>
        </w:tc>
        <w:tc>
          <w:tcPr>
            <w:tcW w:type="dxa" w:w="1728"/>
          </w:tcPr>
          <w:p>
            <w:r>
              <w:t>Route of administration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