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BeModelEAgreementResponse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BeModelEAgreementResponse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BeModelEAgreementResponse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https://www.ehealth.fgov.be/standards/fhir/mycarenet/StructureDefinition/be-model-eagreement-response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2.2.0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Element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5044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Response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04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49425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EAgreementRespons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2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patient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Patient identification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rejectionReason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rejection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serviceProvider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NIHDI number of the service provider/institution responsible for the request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eAgreementType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Identification of the type of agreement (ex: Fb)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decisionId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Identifier of the decision communicated by the insurer organization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pathologicalSituation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Codification of the pathological situation referring to existing notification/request forms (eg: Fb-51)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decisionType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Current decision of the request (ex: 'in process')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decisionDate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Latest decision date (including if in process or request for info)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insurer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Insurer organization responsible for the message (3 positions)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agreementStartDate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Agreement start date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agreementEndDate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Agreement end date (dd/mm/yyyy)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refusalReason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refusal (code with optional additional description)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additionalInfoReason</w:t>
            </w:r>
          </w:p>
        </w:tc>
        <w:tc>
          <w:tcPr>
            <w:tcW w:type="dxa" w:w="1728"/>
          </w:tcPr>
          <w:p>
            <w:r>
              <w:t>0..*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Reason for the request of additional information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